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13G/A</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ORCHARD THERAPEUTICS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par value £0.10 per share (represented by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68570P200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38" w:lineRule="exact"/>
        <w:rPr>
          <w:sz w:val="24"/>
          <w:szCs w:val="24"/>
          <w:color w:val="auto"/>
        </w:rPr>
      </w:pPr>
    </w:p>
    <w:p>
      <w:pPr>
        <w:ind w:left="660"/>
        <w:spacing w:after="0"/>
        <w:rPr>
          <w:sz w:val="20"/>
          <w:szCs w:val="20"/>
          <w:color w:val="auto"/>
        </w:rPr>
      </w:pPr>
      <w:r>
        <w:rPr>
          <w:rFonts w:ascii="Wingdings" w:cs="Wingdings" w:eastAsia="Wingdings" w:hAnsi="Wingdings"/>
          <w:sz w:val="22"/>
          <w:szCs w:val="22"/>
          <w:b w:val="1"/>
          <w:bCs w:val="1"/>
          <w:color w:val="auto"/>
        </w:rPr>
        <w:t xml:space="preserve">o </w:t>
      </w:r>
      <w:r>
        <w:rPr>
          <w:rFonts w:ascii="Times New Roman" w:cs="Times New Roman" w:eastAsia="Times New Roman" w:hAnsi="Times New Roman"/>
          <w:sz w:val="17"/>
          <w:szCs w:val="17"/>
          <w:color w:val="auto"/>
        </w:rPr>
        <w:t>Rule 13d-1(b)</w:t>
      </w:r>
    </w:p>
    <w:p>
      <w:pPr>
        <w:spacing w:after="0" w:line="26" w:lineRule="exact"/>
        <w:rPr>
          <w:sz w:val="24"/>
          <w:szCs w:val="24"/>
          <w:color w:val="auto"/>
        </w:rPr>
      </w:pPr>
    </w:p>
    <w:p>
      <w:pPr>
        <w:jc w:val="both"/>
        <w:ind w:left="660" w:right="9340" w:hanging="4"/>
        <w:spacing w:after="0" w:line="297"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13d-1(c)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13d-1(d)</w:t>
      </w:r>
    </w:p>
    <w:p>
      <w:pPr>
        <w:spacing w:after="0" w:line="3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68570P200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Capital, LP</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68570P200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Deep Track Biotechnology Master Fund, Ltd.</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68570P200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David Kroin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jc w:val="center"/>
              <w:ind w:right="1330"/>
              <w:spacing w:after="0"/>
              <w:rPr>
                <w:sz w:val="20"/>
                <w:szCs w:val="20"/>
                <w:color w:val="auto"/>
              </w:rPr>
            </w:pPr>
            <w:r>
              <w:rPr>
                <w:rFonts w:ascii="Times New Roman" w:cs="Times New Roman" w:eastAsia="Times New Roman" w:hAnsi="Times New Roman"/>
                <w:sz w:val="18"/>
                <w:szCs w:val="18"/>
                <w:b w:val="1"/>
                <w:bCs w:val="1"/>
                <w:color w:val="auto"/>
                <w:w w:val="99"/>
              </w:rPr>
              <w:t>CUSIP No. 68570P200</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r>
        <w:trPr>
          <w:trHeight w:val="436"/>
        </w:trPr>
        <w:tc>
          <w:tcPr>
            <w:tcW w:w="3380" w:type="dxa"/>
            <w:vAlign w:val="bottom"/>
            <w:gridSpan w:val="2"/>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304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ORCHARD THERAPEUTICS PLC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245 Hammersmith Road</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London, W6 8PW, United Kingdom</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Persons Filing:</w:t>
      </w:r>
    </w:p>
    <w:p>
      <w:pPr>
        <w:spacing w:after="0" w:line="121" w:lineRule="exact"/>
        <w:rPr>
          <w:sz w:val="20"/>
          <w:szCs w:val="20"/>
          <w:color w:val="auto"/>
        </w:rPr>
      </w:pPr>
    </w:p>
    <w:p>
      <w:pPr>
        <w:ind w:left="1020" w:hanging="22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Capital, LP</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Track Biotechnology Master Fund, Ltd.</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Kroin</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 b) Address of Principal Business Office:</w:t>
      </w:r>
    </w:p>
    <w:p>
      <w:pPr>
        <w:spacing w:after="0" w:line="121" w:lineRule="exact"/>
        <w:rPr>
          <w:sz w:val="20"/>
          <w:szCs w:val="20"/>
          <w:color w:val="auto"/>
        </w:rPr>
      </w:pPr>
    </w:p>
    <w:p>
      <w:pPr>
        <w:ind w:left="1020" w:hanging="22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Greenwich Ave, 3rd Floor, Greenwich, CT 06830</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Walkers Corporate Limited, 190 Elgin Ave, George Town, KY1-9001, Cayman Islands</w:t>
      </w:r>
    </w:p>
    <w:p>
      <w:pPr>
        <w:spacing w:after="0" w:line="20" w:lineRule="exact"/>
        <w:rPr>
          <w:rFonts w:ascii="Times New Roman" w:cs="Times New Roman" w:eastAsia="Times New Roman" w:hAnsi="Times New Roman"/>
          <w:sz w:val="17"/>
          <w:szCs w:val="17"/>
          <w:color w:val="auto"/>
        </w:rPr>
      </w:pPr>
    </w:p>
    <w:p>
      <w:pPr>
        <w:ind w:left="1120" w:hanging="320"/>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Deep Track Capital, LP, 200 Greenwich Ave, 3rd Floor, Greenwich, CT 06830</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121" w:lineRule="exact"/>
        <w:rPr>
          <w:sz w:val="20"/>
          <w:szCs w:val="20"/>
          <w:color w:val="auto"/>
        </w:rPr>
      </w:pPr>
    </w:p>
    <w:p>
      <w:pPr>
        <w:ind w:left="1020" w:hanging="220"/>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9"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Ordinary Shares, par value £0.10 per share (represented by American Depositary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68570P200</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68570P200</w:t>
            </w:r>
          </w:p>
        </w:tc>
        <w:tc>
          <w:tcPr>
            <w:tcW w:w="304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w w:val="98"/>
              </w:rPr>
              <w:t>SCHEDULE 13G/A</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30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4572635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6 of 9 Pages</w:t>
      </w:r>
    </w:p>
    <w:p>
      <w:pPr>
        <w:spacing w:after="0" w:line="374" w:lineRule="exact"/>
        <w:rPr>
          <w:sz w:val="20"/>
          <w:szCs w:val="20"/>
          <w:color w:val="auto"/>
        </w:rPr>
      </w:pPr>
    </w:p>
    <w:p>
      <w:pPr>
        <w:sectPr>
          <w:pgSz w:w="11900" w:h="16838" w:orient="portrait"/>
          <w:cols w:equalWidth="0" w:num="2">
            <w:col w:w="9060" w:space="720"/>
            <w:col w:w="1460"/>
          </w:cols>
          <w:pgMar w:left="320" w:top="663" w:right="339" w:bottom="73"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5"/>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20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460" w:hanging="595"/>
        <w:spacing w:after="0" w:line="243" w:lineRule="exact"/>
        <w:tabs>
          <w:tab w:leader="none" w:pos="60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3" w:lineRule="exact"/>
        <w:rPr>
          <w:sz w:val="20"/>
          <w:szCs w:val="20"/>
          <w:color w:val="auto"/>
        </w:rPr>
      </w:pPr>
    </w:p>
    <w:tbl>
      <w:tblPr>
        <w:tblLayout w:type="fixed"/>
        <w:tblInd w:w="30" w:type="dxa"/>
        <w:tblCellMar>
          <w:top w:w="0" w:type="dxa"/>
          <w:left w:w="0" w:type="dxa"/>
          <w:bottom w:w="0" w:type="dxa"/>
          <w:right w:w="0" w:type="dxa"/>
        </w:tblCellMar>
      </w:tblPr>
      <w:tr>
        <w:trPr>
          <w:trHeight w:val="347"/>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68570P200</w:t>
            </w:r>
          </w:p>
        </w:tc>
        <w:tc>
          <w:tcPr>
            <w:tcW w:w="4520" w:type="dxa"/>
            <w:vAlign w:val="bottom"/>
            <w:tcBorders>
              <w:right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ectPr>
          <w:pgSz w:w="11900" w:h="16838" w:orient="portrait"/>
          <w:cols w:equalWidth="0" w:num="1">
            <w:col w:w="11240"/>
          </w:cols>
          <w:pgMar w:left="320" w:top="663" w:right="339" w:bottom="73" w:gutter="0" w:footer="0" w:header="0"/>
          <w:type w:val="continuous"/>
        </w:sectPr>
      </w:pPr>
    </w:p>
    <w:bookmarkStart w:id="5" w:name="page6"/>
    <w:bookmarkEnd w:id="5"/>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Reporting Persons' ownership of the Ordinary Shares as of September 30, 2024, is incorporated by reference to items (5) - (9) and (11) of the cover page of the respective Reporting Person.</w:t>
      </w:r>
    </w:p>
    <w:p>
      <w:pPr>
        <w:spacing w:after="0" w:line="54" w:lineRule="exact"/>
        <w:rPr>
          <w:sz w:val="20"/>
          <w:szCs w:val="20"/>
          <w:color w:val="auto"/>
        </w:rPr>
      </w:pPr>
    </w:p>
    <w:p>
      <w:pPr>
        <w:jc w:val="both"/>
        <w:ind w:left="800"/>
        <w:spacing w:after="0" w:line="282" w:lineRule="auto"/>
        <w:rPr>
          <w:sz w:val="20"/>
          <w:szCs w:val="20"/>
          <w:color w:val="auto"/>
        </w:rPr>
      </w:pPr>
      <w:r>
        <w:rPr>
          <w:rFonts w:ascii="Times New Roman" w:cs="Times New Roman" w:eastAsia="Times New Roman" w:hAnsi="Times New Roman"/>
          <w:sz w:val="18"/>
          <w:szCs w:val="18"/>
          <w:color w:val="auto"/>
        </w:rPr>
        <w:t>The amount beneficially owned by each Reporting Person is determined based on 227,610,439 Ordinary Shares outstanding as of November 9, 2023, according to the issuer’s Form 10-Q, filed with the SEC on November 13,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ind w:left="1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Deep Track Capital, LP is the relevant entity for which David Kroin may be considered a control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68570P200</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p>
      <w:pPr>
        <w:sectPr>
          <w:pgSz w:w="11900" w:h="16838" w:orient="portrait"/>
          <w:cols w:equalWidth="0" w:num="1">
            <w:col w:w="11240"/>
          </w:cols>
          <w:pgMar w:left="320" w:top="730" w:right="3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68570P200</w:t>
            </w:r>
          </w:p>
        </w:tc>
        <w:tc>
          <w:tcPr>
            <w:tcW w:w="452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SCHEDULE 13G/A</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9 of 9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Capital, LP</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Managing Member of the General Partner of the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Investment Adviser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Deep Track Biotechnology Master Fund, Ltd.</w:t>
      </w:r>
    </w:p>
    <w:p>
      <w:pPr>
        <w:spacing w:after="0" w:line="227"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Kroin, Director</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David Kroin</w:t>
      </w:r>
    </w:p>
    <w:p>
      <w:pPr>
        <w:spacing w:after="0" w:line="227" w:lineRule="exact"/>
        <w:rPr>
          <w:sz w:val="20"/>
          <w:szCs w:val="20"/>
          <w:color w:val="auto"/>
        </w:rPr>
      </w:pPr>
    </w:p>
    <w:p>
      <w:pPr>
        <w:ind w:left="562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18415</wp:posOffset>
            </wp:positionV>
            <wp:extent cx="3282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Kroin</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2024-11-14T08:41:05Z</dcterms:created>
  <dcterms:modified xsi:type="dcterms:W3CDTF">2024-11-14T08:41:05Z</dcterms:modified>
</cp:coreProperties>
</file>