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Orchard Therapeutics PLC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Ordinary Shares, nominal value £0.10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3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68570P200</w:t>
      </w:r>
      <w:r>
        <w:rPr>
          <w:rFonts w:ascii="Times New Roman" w:cs="Times New Roman" w:eastAsia="Times New Roman" w:hAnsi="Times New Roman"/>
          <w:sz w:val="32"/>
          <w:szCs w:val="32"/>
          <w:b w:val="1"/>
          <w:bCs w:val="1"/>
          <w:color w:val="auto"/>
          <w:vertAlign w:val="superscript"/>
        </w:rPr>
        <w:t>1</w:t>
      </w: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98" w:lineRule="exact"/>
        <w:rPr>
          <w:sz w:val="24"/>
          <w:szCs w:val="24"/>
          <w:color w:val="auto"/>
        </w:rPr>
      </w:pPr>
    </w:p>
    <w:p>
      <w:pPr>
        <w:ind w:left="140" w:hanging="132"/>
        <w:spacing w:after="0"/>
        <w:tabs>
          <w:tab w:leader="none" w:pos="140" w:val="left"/>
        </w:tabs>
        <w:numPr>
          <w:ilvl w:val="0"/>
          <w:numId w:val="2"/>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This is the CUSIP number for the Issuer’s American Depositary Shares.</w:t>
      </w:r>
    </w:p>
    <w:p>
      <w:pPr>
        <w:ind w:left="5580"/>
        <w:spacing w:after="0"/>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45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1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15,614,990</w:t>
            </w:r>
            <w:r>
              <w:rPr>
                <w:rFonts w:ascii="Times New Roman" w:cs="Times New Roman" w:eastAsia="Times New Roman" w:hAnsi="Times New Roman"/>
                <w:sz w:val="29"/>
                <w:szCs w:val="29"/>
                <w:b w:val="1"/>
                <w:bCs w:val="1"/>
                <w:color w:val="auto"/>
                <w:vertAlign w:val="superscript"/>
              </w:rPr>
              <w:t>2</w:t>
            </w:r>
          </w:p>
        </w:tc>
      </w:tr>
      <w:tr>
        <w:trPr>
          <w:trHeight w:val="207"/>
        </w:trPr>
        <w:tc>
          <w:tcPr>
            <w:tcW w:w="17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r>
      <w:tr>
        <w:trPr>
          <w:trHeight w:val="47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xml:space="preserve">Shared Dispositive Power </w:t>
            </w:r>
            <w:r>
              <w:rPr>
                <w:rFonts w:ascii="Times New Roman" w:cs="Times New Roman" w:eastAsia="Times New Roman" w:hAnsi="Times New Roman"/>
                <w:sz w:val="20"/>
                <w:szCs w:val="20"/>
                <w:b w:val="1"/>
                <w:bCs w:val="1"/>
                <w:color w:val="auto"/>
                <w:w w:val="97"/>
              </w:rPr>
              <w:t>15,614,990</w:t>
            </w:r>
            <w:r>
              <w:rPr>
                <w:rFonts w:ascii="Times New Roman" w:cs="Times New Roman" w:eastAsia="Times New Roman" w:hAnsi="Times New Roman"/>
                <w:sz w:val="32"/>
                <w:szCs w:val="32"/>
                <w:b w:val="1"/>
                <w:bCs w:val="1"/>
                <w:color w:val="auto"/>
                <w:w w:val="97"/>
                <w:vertAlign w:val="superscript"/>
              </w:rPr>
              <w:t>2</w:t>
            </w:r>
          </w:p>
        </w:tc>
      </w:tr>
    </w:tbl>
    <w:p>
      <w:pPr>
        <w:spacing w:after="0" w:line="5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15,614,990</w:t>
      </w:r>
      <w:r>
        <w:rPr>
          <w:rFonts w:ascii="Times New Roman" w:cs="Times New Roman" w:eastAsia="Times New Roman" w:hAnsi="Times New Roman"/>
          <w:sz w:val="32"/>
          <w:szCs w:val="32"/>
          <w:b w:val="1"/>
          <w:bCs w:val="1"/>
          <w:color w:val="auto"/>
          <w:vertAlign w:val="superscript"/>
        </w:rPr>
        <w:t>2</w:t>
      </w:r>
    </w:p>
    <w:p>
      <w:pPr>
        <w:spacing w:after="0" w:line="81" w:lineRule="exact"/>
        <w:rPr>
          <w:rFonts w:ascii="Times New Roman" w:cs="Times New Roman" w:eastAsia="Times New Roman" w:hAnsi="Times New Roman"/>
          <w:sz w:val="40"/>
          <w:szCs w:val="40"/>
          <w:color w:val="auto"/>
          <w:vertAlign w:val="superscript"/>
        </w:rPr>
      </w:pPr>
    </w:p>
    <w:p>
      <w:pPr>
        <w:ind w:left="1300" w:right="2999" w:hanging="644"/>
        <w:spacing w:after="0" w:line="258"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ind w:left="140" w:hanging="132"/>
        <w:spacing w:after="0" w:line="203" w:lineRule="auto"/>
        <w:tabs>
          <w:tab w:leader="none" w:pos="140" w:val="left"/>
        </w:tabs>
        <w:numPr>
          <w:ilvl w:val="0"/>
          <w:numId w:val="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Represents 1,561,499 American Depositary Shares, each of which represents 10 Ordinary Shares of the Issuer.</w:t>
      </w:r>
    </w:p>
    <w:p>
      <w:pPr>
        <w:ind w:left="558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2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1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15,614,990</w:t>
            </w:r>
            <w:r>
              <w:rPr>
                <w:rFonts w:ascii="Times New Roman" w:cs="Times New Roman" w:eastAsia="Times New Roman" w:hAnsi="Times New Roman"/>
                <w:sz w:val="29"/>
                <w:szCs w:val="29"/>
                <w:b w:val="1"/>
                <w:bCs w:val="1"/>
                <w:color w:val="auto"/>
                <w:vertAlign w:val="superscript"/>
              </w:rPr>
              <w:t>2</w:t>
            </w:r>
          </w:p>
        </w:tc>
      </w:tr>
      <w:tr>
        <w:trPr>
          <w:trHeight w:val="207"/>
        </w:trPr>
        <w:tc>
          <w:tcPr>
            <w:tcW w:w="17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r>
      <w:tr>
        <w:trPr>
          <w:trHeight w:val="47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xml:space="preserve">Shared Dispositive Power </w:t>
            </w:r>
            <w:r>
              <w:rPr>
                <w:rFonts w:ascii="Times New Roman" w:cs="Times New Roman" w:eastAsia="Times New Roman" w:hAnsi="Times New Roman"/>
                <w:sz w:val="20"/>
                <w:szCs w:val="20"/>
                <w:b w:val="1"/>
                <w:bCs w:val="1"/>
                <w:color w:val="auto"/>
                <w:w w:val="97"/>
              </w:rPr>
              <w:t>15,614,990</w:t>
            </w:r>
            <w:r>
              <w:rPr>
                <w:rFonts w:ascii="Times New Roman" w:cs="Times New Roman" w:eastAsia="Times New Roman" w:hAnsi="Times New Roman"/>
                <w:sz w:val="32"/>
                <w:szCs w:val="32"/>
                <w:b w:val="1"/>
                <w:bCs w:val="1"/>
                <w:color w:val="auto"/>
                <w:w w:val="97"/>
                <w:vertAlign w:val="superscript"/>
              </w:rPr>
              <w:t>2</w:t>
            </w:r>
          </w:p>
        </w:tc>
      </w:tr>
    </w:tbl>
    <w:p>
      <w:pPr>
        <w:spacing w:after="0" w:line="5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15,614,990</w:t>
      </w:r>
      <w:r>
        <w:rPr>
          <w:rFonts w:ascii="Times New Roman" w:cs="Times New Roman" w:eastAsia="Times New Roman" w:hAnsi="Times New Roman"/>
          <w:sz w:val="32"/>
          <w:szCs w:val="32"/>
          <w:b w:val="1"/>
          <w:bCs w:val="1"/>
          <w:color w:val="auto"/>
          <w:vertAlign w:val="superscript"/>
        </w:rPr>
        <w:t>2</w:t>
      </w:r>
    </w:p>
    <w:p>
      <w:pPr>
        <w:spacing w:after="0" w:line="81" w:lineRule="exact"/>
        <w:rPr>
          <w:rFonts w:ascii="Times New Roman" w:cs="Times New Roman" w:eastAsia="Times New Roman" w:hAnsi="Times New Roman"/>
          <w:sz w:val="40"/>
          <w:szCs w:val="40"/>
          <w:color w:val="auto"/>
          <w:vertAlign w:val="superscript"/>
        </w:rPr>
      </w:pPr>
    </w:p>
    <w:p>
      <w:pPr>
        <w:ind w:left="1300" w:right="2999" w:hanging="644"/>
        <w:spacing w:after="0" w:line="258"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ind w:left="140" w:hanging="132"/>
        <w:spacing w:after="0" w:line="203" w:lineRule="auto"/>
        <w:tabs>
          <w:tab w:leader="none" w:pos="140" w:val="left"/>
        </w:tabs>
        <w:numPr>
          <w:ilvl w:val="0"/>
          <w:numId w:val="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Represents 1,561,499 American Depositary Shares, each of which represents 10 Ordinary Shares of the Issuer.</w:t>
      </w:r>
    </w:p>
    <w:p>
      <w:pPr>
        <w:ind w:left="558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Partners II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9"/>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282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1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13,813,550</w:t>
            </w:r>
            <w:r>
              <w:rPr>
                <w:rFonts w:ascii="Times New Roman" w:cs="Times New Roman" w:eastAsia="Times New Roman" w:hAnsi="Times New Roman"/>
                <w:sz w:val="29"/>
                <w:szCs w:val="29"/>
                <w:b w:val="1"/>
                <w:bCs w:val="1"/>
                <w:color w:val="auto"/>
                <w:vertAlign w:val="superscript"/>
              </w:rPr>
              <w:t>3</w:t>
            </w:r>
          </w:p>
        </w:tc>
      </w:tr>
      <w:tr>
        <w:trPr>
          <w:trHeight w:val="207"/>
        </w:trPr>
        <w:tc>
          <w:tcPr>
            <w:tcW w:w="17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r>
      <w:tr>
        <w:trPr>
          <w:trHeight w:val="47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xml:space="preserve">Shared Dispositive Power </w:t>
            </w:r>
            <w:r>
              <w:rPr>
                <w:rFonts w:ascii="Times New Roman" w:cs="Times New Roman" w:eastAsia="Times New Roman" w:hAnsi="Times New Roman"/>
                <w:sz w:val="20"/>
                <w:szCs w:val="20"/>
                <w:b w:val="1"/>
                <w:bCs w:val="1"/>
                <w:color w:val="auto"/>
                <w:w w:val="97"/>
              </w:rPr>
              <w:t>13,813,550</w:t>
            </w:r>
            <w:r>
              <w:rPr>
                <w:rFonts w:ascii="Times New Roman" w:cs="Times New Roman" w:eastAsia="Times New Roman" w:hAnsi="Times New Roman"/>
                <w:sz w:val="32"/>
                <w:szCs w:val="32"/>
                <w:b w:val="1"/>
                <w:bCs w:val="1"/>
                <w:color w:val="auto"/>
                <w:w w:val="97"/>
                <w:vertAlign w:val="superscript"/>
              </w:rPr>
              <w:t>3</w:t>
            </w:r>
          </w:p>
        </w:tc>
      </w:tr>
    </w:tbl>
    <w:p>
      <w:pPr>
        <w:spacing w:after="0" w:line="5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13,813,550</w:t>
      </w:r>
      <w:r>
        <w:rPr>
          <w:rFonts w:ascii="Times New Roman" w:cs="Times New Roman" w:eastAsia="Times New Roman" w:hAnsi="Times New Roman"/>
          <w:sz w:val="32"/>
          <w:szCs w:val="32"/>
          <w:b w:val="1"/>
          <w:bCs w:val="1"/>
          <w:color w:val="auto"/>
          <w:vertAlign w:val="superscript"/>
        </w:rPr>
        <w:t>3</w:t>
      </w:r>
    </w:p>
    <w:p>
      <w:pPr>
        <w:spacing w:after="0" w:line="81" w:lineRule="exact"/>
        <w:rPr>
          <w:rFonts w:ascii="Times New Roman" w:cs="Times New Roman" w:eastAsia="Times New Roman" w:hAnsi="Times New Roman"/>
          <w:sz w:val="40"/>
          <w:szCs w:val="40"/>
          <w:color w:val="auto"/>
          <w:vertAlign w:val="superscript"/>
        </w:rPr>
      </w:pPr>
    </w:p>
    <w:p>
      <w:pPr>
        <w:ind w:left="1300" w:right="2999" w:hanging="644"/>
        <w:spacing w:after="0" w:line="258" w:lineRule="auto"/>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6.1%</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ind w:left="140" w:hanging="132"/>
        <w:spacing w:after="0" w:line="203" w:lineRule="auto"/>
        <w:tabs>
          <w:tab w:leader="none" w:pos="140" w:val="left"/>
        </w:tabs>
        <w:numPr>
          <w:ilvl w:val="0"/>
          <w:numId w:val="1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Represents 1,381,355 American Depositary Shares, each of which represents 10 Ordinary Shares of the Issuer.</w:t>
      </w:r>
    </w:p>
    <w:p>
      <w:pPr>
        <w:ind w:left="558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22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4"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David A. Witkin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1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15,614,990</w:t>
            </w:r>
            <w:r>
              <w:rPr>
                <w:rFonts w:ascii="Times New Roman" w:cs="Times New Roman" w:eastAsia="Times New Roman" w:hAnsi="Times New Roman"/>
                <w:sz w:val="29"/>
                <w:szCs w:val="29"/>
                <w:b w:val="1"/>
                <w:bCs w:val="1"/>
                <w:color w:val="auto"/>
                <w:vertAlign w:val="superscript"/>
              </w:rPr>
              <w:t>2</w:t>
            </w:r>
          </w:p>
        </w:tc>
      </w:tr>
      <w:tr>
        <w:trPr>
          <w:trHeight w:val="207"/>
        </w:trPr>
        <w:tc>
          <w:tcPr>
            <w:tcW w:w="17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r>
      <w:tr>
        <w:trPr>
          <w:trHeight w:val="47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 xml:space="preserve">Shared Dispositive Power </w:t>
            </w:r>
            <w:r>
              <w:rPr>
                <w:rFonts w:ascii="Times New Roman" w:cs="Times New Roman" w:eastAsia="Times New Roman" w:hAnsi="Times New Roman"/>
                <w:sz w:val="20"/>
                <w:szCs w:val="20"/>
                <w:b w:val="1"/>
                <w:bCs w:val="1"/>
                <w:color w:val="auto"/>
                <w:w w:val="97"/>
              </w:rPr>
              <w:t>15,614,990</w:t>
            </w:r>
            <w:r>
              <w:rPr>
                <w:rFonts w:ascii="Times New Roman" w:cs="Times New Roman" w:eastAsia="Times New Roman" w:hAnsi="Times New Roman"/>
                <w:sz w:val="32"/>
                <w:szCs w:val="32"/>
                <w:b w:val="1"/>
                <w:bCs w:val="1"/>
                <w:color w:val="auto"/>
                <w:w w:val="97"/>
                <w:vertAlign w:val="superscript"/>
              </w:rPr>
              <w:t>2</w:t>
            </w:r>
          </w:p>
        </w:tc>
      </w:tr>
    </w:tbl>
    <w:p>
      <w:pPr>
        <w:spacing w:after="0" w:line="53"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15,614,990</w:t>
      </w:r>
      <w:r>
        <w:rPr>
          <w:rFonts w:ascii="Times New Roman" w:cs="Times New Roman" w:eastAsia="Times New Roman" w:hAnsi="Times New Roman"/>
          <w:sz w:val="32"/>
          <w:szCs w:val="32"/>
          <w:b w:val="1"/>
          <w:bCs w:val="1"/>
          <w:color w:val="auto"/>
          <w:vertAlign w:val="superscript"/>
        </w:rPr>
        <w:t>2</w:t>
      </w:r>
    </w:p>
    <w:p>
      <w:pPr>
        <w:spacing w:after="0" w:line="81" w:lineRule="exact"/>
        <w:rPr>
          <w:rFonts w:ascii="Times New Roman" w:cs="Times New Roman" w:eastAsia="Times New Roman" w:hAnsi="Times New Roman"/>
          <w:sz w:val="40"/>
          <w:szCs w:val="40"/>
          <w:color w:val="auto"/>
          <w:vertAlign w:val="superscript"/>
        </w:rPr>
      </w:pPr>
    </w:p>
    <w:p>
      <w:pPr>
        <w:ind w:left="1300" w:right="2999" w:hanging="644"/>
        <w:spacing w:after="0" w:line="258" w:lineRule="auto"/>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8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ind w:left="140" w:hanging="132"/>
        <w:spacing w:after="0" w:line="203" w:lineRule="auto"/>
        <w:tabs>
          <w:tab w:leader="none" w:pos="140" w:val="left"/>
        </w:tabs>
        <w:numPr>
          <w:ilvl w:val="0"/>
          <w:numId w:val="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Represents 1,561,499 American Depositary Shares, each of which represents 10 Ordinary Shares of the Issuer.</w:t>
      </w:r>
    </w:p>
    <w:p>
      <w:pPr>
        <w:ind w:left="558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22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Orchard Therapeutics PLC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245 Hammersmith Road, London W6 8PW, 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Beryl Capital Management LLC (“Beryl”), Beryl Capital Management LP (“Beryl GP”), Beryl Capital Partners II LP (the “Partnership”) and David A. Witkin (collectively, the “Filers”). Each Filer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225 Avenue I, Suite 205, Redondo Beach, CA 90277</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Ordinary Shares, nominal value £0.10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68570P200</w:t>
      </w:r>
    </w:p>
    <w:p>
      <w:pPr>
        <w:spacing w:after="0" w:line="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is the CUSIP number for the Issuer’s American Depositary Shares.</w:t>
      </w: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229" w:right="499" w:bottom="1440" w:gutter="0" w:footer="0" w:header="0"/>
        </w:sectPr>
      </w:pPr>
    </w:p>
    <w:bookmarkStart w:id="6" w:name="page7"/>
    <w:bookmarkEnd w:id="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68570P200</w:t>
      </w:r>
    </w:p>
    <w:p>
      <w:pPr>
        <w:sectPr>
          <w:pgSz w:w="11900" w:h="16892" w:orient="portrait"/>
          <w:cols w:equalWidth="0" w:num="1">
            <w:col w:w="11240"/>
          </w:cols>
          <w:pgMar w:left="320" w:top="229" w:right="339" w:bottom="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0" w:lineRule="exact"/>
        <w:rPr>
          <w:sz w:val="20"/>
          <w:szCs w:val="20"/>
          <w:color w:val="auto"/>
        </w:rPr>
      </w:pPr>
    </w:p>
    <w:p>
      <w:pPr>
        <w:sectPr>
          <w:pgSz w:w="11900" w:h="16892" w:orient="portrait"/>
          <w:cols w:equalWidth="0" w:num="2">
            <w:col w:w="600" w:space="700"/>
            <w:col w:w="9940"/>
          </w:cols>
          <w:pgMar w:left="320" w:top="229" w:right="339" w:bottom="0" w:gutter="0" w:footer="0" w:header="0"/>
          <w:type w:val="continuous"/>
        </w:sectPr>
      </w:pPr>
    </w:p>
    <w:p>
      <w:pPr>
        <w:spacing w:after="0" w:line="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An investment adviser in accordance with section 240.13d-1(b)(1)(ii)(E), as to Beryl and Beryl GP.</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 parent holding company or control person in accordance with 240.13d-1(b)(1)(ii)(G), as to Mr. Witkin.</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(i)</w:t>
      </w:r>
      <w:r>
        <w:rPr>
          <w:sz w:val="20"/>
          <w:szCs w:val="20"/>
          <w:color w:val="auto"/>
        </w:rPr>
        <w:tab/>
      </w:r>
      <w:r>
        <w:rPr>
          <w:rFonts w:ascii="Times New Roman" w:cs="Times New Roman" w:eastAsia="Times New Roman" w:hAnsi="Times New Roman"/>
          <w:sz w:val="19"/>
          <w:szCs w:val="19"/>
          <w:color w:val="auto"/>
        </w:rPr>
        <w:t>[ ] A church plan that is excluded from the definition of an investment company under section 3(c)(14) of the</w:t>
      </w:r>
    </w:p>
    <w:p>
      <w:pPr>
        <w:spacing w:after="0" w:line="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ectPr>
          <w:pgSz w:w="11900" w:h="16892" w:orient="portrait"/>
          <w:cols w:equalWidth="0" w:num="1">
            <w:col w:w="11240"/>
          </w:cols>
          <w:pgMar w:left="320" w:top="229" w:right="339" w:bottom="0" w:gutter="0" w:footer="0" w:header="0"/>
          <w:type w:val="continuous"/>
        </w:sectPr>
      </w:pPr>
    </w:p>
    <w:p>
      <w:pPr>
        <w:spacing w:after="0" w:line="229" w:lineRule="exact"/>
        <w:rPr>
          <w:sz w:val="20"/>
          <w:szCs w:val="20"/>
          <w:color w:val="auto"/>
        </w:rPr>
      </w:pPr>
    </w:p>
    <w:p>
      <w:pPr>
        <w:ind w:left="660" w:right="16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92" w:orient="portrait"/>
          <w:cols w:equalWidth="0" w:num="1">
            <w:col w:w="11240"/>
          </w:cols>
          <w:pgMar w:left="320" w:top="229" w:right="33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92" w:orient="portrait"/>
          <w:cols w:equalWidth="0" w:num="2">
            <w:col w:w="600" w:space="700"/>
            <w:col w:w="9940"/>
          </w:cols>
          <w:pgMar w:left="320" w:top="229" w:right="33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227,610,439 Ordinary Shares outstanding as of November 9, 2023, as reported in the Form 10-Q filed by the Issuer on November 13, 2023.</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300" w:right="3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Beryl is the investment adviser to the Funds and other accounts. Beryl is the general partner of Beryl GP, which is the general partner of one or more of the Funds. Mr. Witkin is the control person of Beryl.</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Joint Filing Agreement.</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Beryl, Beryl GP and Mr. Witkin.</w:t>
      </w:r>
    </w:p>
    <w:p>
      <w:pPr>
        <w:spacing w:after="0" w:line="233" w:lineRule="exact"/>
        <w:rPr>
          <w:sz w:val="20"/>
          <w:szCs w:val="20"/>
          <w:color w:val="auto"/>
        </w:rPr>
      </w:pPr>
    </w:p>
    <w:p>
      <w:pPr>
        <w:ind w:right="70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ectPr>
          <w:pgSz w:w="11900" w:h="16892" w:orient="portrait"/>
          <w:cols w:equalWidth="0" w:num="1">
            <w:col w:w="11240"/>
          </w:cols>
          <w:pgMar w:left="320" w:top="229" w:right="339" w:bottom="0" w:gutter="0" w:footer="0" w:header="0"/>
          <w:type w:val="continuous"/>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320" w:top="118"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8, 2024</w:t>
      </w:r>
    </w:p>
    <w:p>
      <w:pPr>
        <w:spacing w:after="0" w:line="225" w:lineRule="exact"/>
        <w:rPr>
          <w:sz w:val="20"/>
          <w:szCs w:val="20"/>
          <w:color w:val="auto"/>
        </w:rPr>
      </w:pPr>
    </w:p>
    <w:p>
      <w:pPr>
        <w:ind w:left="100"/>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BERYL CAPITAL MANAGEMENT LLC</w:t>
      </w:r>
      <w:r>
        <w:rPr>
          <w:sz w:val="20"/>
          <w:szCs w:val="20"/>
          <w:color w:val="auto"/>
        </w:rPr>
        <w:tab/>
      </w:r>
      <w:r>
        <w:rPr>
          <w:rFonts w:ascii="Times New Roman" w:cs="Times New Roman" w:eastAsia="Times New Roman" w:hAnsi="Times New Roman"/>
          <w:sz w:val="19"/>
          <w:szCs w:val="19"/>
          <w:b w:val="1"/>
          <w:bCs w:val="1"/>
          <w:color w:val="auto"/>
        </w:rPr>
        <w:t>BERYL CAPITAL MANAGEMENT LP</w:t>
      </w:r>
    </w:p>
    <w:p>
      <w:pPr>
        <w:spacing w:after="0" w:line="233" w:lineRule="exact"/>
        <w:rPr>
          <w:sz w:val="20"/>
          <w:szCs w:val="20"/>
          <w:color w:val="auto"/>
        </w:rPr>
      </w:pPr>
    </w:p>
    <w:p>
      <w:pPr>
        <w:ind w:left="586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Beryl Capital Management LLC</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General Partner</w:t>
      </w:r>
    </w:p>
    <w:p>
      <w:pPr>
        <w:ind w:left="100"/>
        <w:spacing w:after="0"/>
        <w:tabs>
          <w:tab w:leader="none" w:pos="640" w:val="left"/>
        </w:tabs>
        <w:rPr>
          <w:sz w:val="20"/>
          <w:szCs w:val="20"/>
          <w:color w:val="auto"/>
        </w:rPr>
      </w:pPr>
      <w:r>
        <w:rPr>
          <w:rFonts w:ascii="Times New Roman" w:cs="Times New Roman" w:eastAsia="Times New Roman" w:hAnsi="Times New Roman"/>
          <w:sz w:val="20"/>
          <w:szCs w:val="20"/>
          <w:color w:val="auto"/>
        </w:rPr>
        <w:t>By:</w:t>
        <w:tab/>
        <w:t xml:space="preserve">/s/ </w:t>
      </w:r>
      <w:r>
        <w:rPr>
          <w:rFonts w:ascii="Times New Roman" w:cs="Times New Roman" w:eastAsia="Times New Roman" w:hAnsi="Times New Roman"/>
          <w:sz w:val="20"/>
          <w:szCs w:val="20"/>
          <w:i w:val="1"/>
          <w:iCs w:val="1"/>
          <w:color w:val="auto"/>
        </w:rPr>
        <w:t>Andrew Nelson</w:t>
      </w:r>
    </w:p>
    <w:p>
      <w:pPr>
        <w:sectPr>
          <w:pgSz w:w="11900" w:h="16838" w:orient="portrait"/>
          <w:cols w:equalWidth="0" w:num="1">
            <w:col w:w="11180"/>
          </w:cols>
          <w:pgMar w:left="320" w:top="229" w:right="399" w:bottom="1440" w:gutter="0" w:footer="0" w:header="0"/>
        </w:sect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-144780</wp:posOffset>
            </wp:positionV>
            <wp:extent cx="313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Chief Operating Officer and CFO</w:t>
      </w: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BERYL CAPITAL PARTNERS II 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Beryl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w:t>
      </w:r>
    </w:p>
    <w:p>
      <w:pPr>
        <w:spacing w:after="0" w:line="221" w:lineRule="exact"/>
        <w:rPr>
          <w:sz w:val="20"/>
          <w:szCs w:val="20"/>
          <w:color w:val="auto"/>
        </w:rPr>
      </w:pPr>
    </w:p>
    <w:p>
      <w:pPr>
        <w:ind w:left="100" w:right="1860"/>
        <w:spacing w:after="0" w:line="269" w:lineRule="auto"/>
        <w:rPr>
          <w:sz w:val="20"/>
          <w:szCs w:val="20"/>
          <w:color w:val="auto"/>
        </w:rPr>
      </w:pPr>
      <w:r>
        <w:rPr>
          <w:rFonts w:ascii="Times New Roman" w:cs="Times New Roman" w:eastAsia="Times New Roman" w:hAnsi="Times New Roman"/>
          <w:sz w:val="20"/>
          <w:szCs w:val="20"/>
          <w:color w:val="auto"/>
        </w:rPr>
        <w:t>By: Beryl Capital Management LLC General Partner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Andrew Nelson</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ind w:left="660"/>
        <w:spacing w:after="0"/>
        <w:rPr>
          <w:sz w:val="20"/>
          <w:szCs w:val="20"/>
          <w:color w:val="auto"/>
        </w:rPr>
      </w:pPr>
      <w:r>
        <w:rPr>
          <w:rFonts w:ascii="Times New Roman" w:cs="Times New Roman" w:eastAsia="Times New Roman" w:hAnsi="Times New Roman"/>
          <w:sz w:val="20"/>
          <w:szCs w:val="20"/>
          <w:color w:val="auto"/>
        </w:rPr>
        <w:t>Chief Operating Officer</w:t>
      </w:r>
    </w:p>
    <w:p>
      <w:pPr>
        <w:spacing w:after="0" w:line="20" w:lineRule="exact"/>
        <w:rPr>
          <w:sz w:val="20"/>
          <w:szCs w:val="20"/>
          <w:color w:val="auto"/>
        </w:rPr>
      </w:pPr>
      <w:r>
        <w:rPr>
          <w:sz w:val="20"/>
          <w:szCs w:val="20"/>
          <w:color w:val="auto"/>
        </w:rPr>
        <w:br w:type="column"/>
      </w:r>
    </w:p>
    <w:p>
      <w:pPr>
        <w:ind w:left="820"/>
        <w:spacing w:after="0"/>
        <w:tabs>
          <w:tab w:leader="none" w:pos="1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Andrew Nelson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-140335</wp:posOffset>
            </wp:positionV>
            <wp:extent cx="270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jc w:val="right"/>
        <w:ind w:right="1440"/>
        <w:spacing w:after="0"/>
        <w:rPr>
          <w:sz w:val="20"/>
          <w:szCs w:val="20"/>
          <w:color w:val="auto"/>
        </w:rPr>
      </w:pPr>
      <w:r>
        <w:rPr>
          <w:rFonts w:ascii="Times New Roman" w:cs="Times New Roman" w:eastAsia="Times New Roman" w:hAnsi="Times New Roman"/>
          <w:sz w:val="20"/>
          <w:szCs w:val="20"/>
          <w:color w:val="auto"/>
        </w:rPr>
        <w:t>Chief Operating Officer and CFO</w:t>
      </w:r>
    </w:p>
    <w:p>
      <w:pPr>
        <w:spacing w:after="0" w:line="200" w:lineRule="exact"/>
        <w:rPr>
          <w:sz w:val="20"/>
          <w:szCs w:val="20"/>
          <w:color w:val="auto"/>
        </w:rPr>
      </w:pPr>
    </w:p>
    <w:p>
      <w:pPr>
        <w:spacing w:after="0" w:line="2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David A. Witkin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David A. Witkin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860" w:space="720"/>
            <w:col w:w="5600"/>
          </w:cols>
          <w:pgMar w:left="320" w:top="229"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February 8, 2024</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3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Andrew Nelson</w:t>
            </w:r>
          </w:p>
        </w:tc>
        <w:tc>
          <w:tcPr>
            <w:tcW w:w="54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23"/>
        </w:trPr>
        <w:tc>
          <w:tcPr>
            <w:tcW w:w="5760" w:type="dxa"/>
            <w:vAlign w:val="bottom"/>
            <w:gridSpan w:val="5"/>
            <w:vMerge w:val="continue"/>
          </w:tcPr>
          <w:p>
            <w:pPr>
              <w:spacing w:after="0"/>
              <w:rPr>
                <w:sz w:val="19"/>
                <w:szCs w:val="19"/>
                <w:color w:val="auto"/>
              </w:rPr>
            </w:pPr>
          </w:p>
        </w:tc>
        <w:tc>
          <w:tcPr>
            <w:tcW w:w="5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 xml:space="preserve">By:/s/ </w:t>
            </w:r>
            <w:r>
              <w:rPr>
                <w:rFonts w:ascii="Times New Roman" w:cs="Times New Roman" w:eastAsia="Times New Roman" w:hAnsi="Times New Roman"/>
                <w:sz w:val="20"/>
                <w:szCs w:val="20"/>
                <w:i w:val="1"/>
                <w:iCs w:val="1"/>
                <w:color w:val="auto"/>
                <w:w w:val="98"/>
              </w:rPr>
              <w:t>Andrew Nelson</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4940" w:type="dxa"/>
            <w:vAlign w:val="bottom"/>
            <w:tcBorders>
              <w:top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line="20" w:lineRule="exact"/>
              <w:rPr>
                <w:sz w:val="1"/>
                <w:szCs w:val="1"/>
                <w:color w:val="auto"/>
              </w:rPr>
            </w:pPr>
          </w:p>
        </w:tc>
        <w:tc>
          <w:tcPr>
            <w:tcW w:w="5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12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20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20" w:type="dxa"/>
            <w:vAlign w:val="bottom"/>
          </w:tcPr>
          <w:p>
            <w:pPr>
              <w:spacing w:after="0"/>
              <w:rPr>
                <w:sz w:val="22"/>
                <w:szCs w:val="22"/>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0" w:type="dxa"/>
            <w:vAlign w:val="bottom"/>
          </w:tcPr>
          <w:p>
            <w:pPr>
              <w:spacing w:after="0"/>
              <w:rPr>
                <w:sz w:val="1"/>
                <w:szCs w:val="1"/>
                <w:color w:val="auto"/>
              </w:rPr>
            </w:pPr>
          </w:p>
        </w:tc>
      </w:tr>
      <w:tr>
        <w:trPr>
          <w:trHeight w:val="230"/>
        </w:trPr>
        <w:tc>
          <w:tcPr>
            <w:tcW w:w="5760" w:type="dxa"/>
            <w:vAlign w:val="bottom"/>
            <w:gridSpan w:val="5"/>
            <w:vMerge w:val="continue"/>
          </w:tcPr>
          <w:p>
            <w:pPr>
              <w:spacing w:after="0"/>
              <w:rPr>
                <w:sz w:val="19"/>
                <w:szCs w:val="19"/>
                <w:color w:val="auto"/>
              </w:rPr>
            </w:pP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20" w:type="dxa"/>
            <w:vAlign w:val="bottom"/>
          </w:tcPr>
          <w:p>
            <w:pPr>
              <w:spacing w:after="0"/>
              <w:rPr>
                <w:sz w:val="24"/>
                <w:szCs w:val="24"/>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color w:val="auto"/>
                <w:w w:val="97"/>
              </w:rPr>
              <w:t xml:space="preserve">/s/ </w:t>
            </w:r>
            <w:r>
              <w:rPr>
                <w:rFonts w:ascii="Times New Roman" w:cs="Times New Roman" w:eastAsia="Times New Roman" w:hAnsi="Times New Roman"/>
                <w:sz w:val="20"/>
                <w:szCs w:val="20"/>
                <w:i w:val="1"/>
                <w:iCs w:val="1"/>
                <w:color w:val="auto"/>
                <w:w w:val="97"/>
              </w:rPr>
              <w:t>David A. Witkin</w:t>
            </w:r>
          </w:p>
        </w:tc>
        <w:tc>
          <w:tcPr>
            <w:tcW w:w="0" w:type="dxa"/>
            <w:vAlign w:val="bottom"/>
          </w:tcPr>
          <w:p>
            <w:pPr>
              <w:spacing w:after="0"/>
              <w:rPr>
                <w:sz w:val="1"/>
                <w:szCs w:val="1"/>
                <w:color w:val="auto"/>
              </w:rPr>
            </w:pPr>
          </w:p>
        </w:tc>
      </w:tr>
      <w:tr>
        <w:trPr>
          <w:trHeight w:val="23"/>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5"/>
            <w:vMerge w:val="continue"/>
          </w:tcPr>
          <w:p>
            <w:pPr>
              <w:spacing w:after="0"/>
              <w:rPr>
                <w:sz w:val="22"/>
                <w:szCs w:val="22"/>
                <w:color w:val="auto"/>
              </w:rPr>
            </w:pPr>
          </w:p>
        </w:tc>
        <w:tc>
          <w:tcPr>
            <w:tcW w:w="1220" w:type="dxa"/>
            <w:vAlign w:val="bottom"/>
          </w:tcPr>
          <w:p>
            <w:pPr>
              <w:spacing w:after="0"/>
              <w:rPr>
                <w:sz w:val="22"/>
                <w:szCs w:val="22"/>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b w:val="1"/>
                <w:bCs w:val="1"/>
                <w:color w:val="auto"/>
                <w:w w:val="99"/>
              </w:rPr>
              <w:t>David A. Witkin</w:t>
            </w:r>
          </w:p>
        </w:tc>
        <w:tc>
          <w:tcPr>
            <w:tcW w:w="0" w:type="dxa"/>
            <w:vAlign w:val="bottom"/>
          </w:tcPr>
          <w:p>
            <w:pPr>
              <w:spacing w:after="0"/>
              <w:rPr>
                <w:sz w:val="1"/>
                <w:szCs w:val="1"/>
                <w:color w:val="auto"/>
              </w:rPr>
            </w:pPr>
          </w:p>
        </w:tc>
      </w:tr>
      <w:tr>
        <w:trPr>
          <w:trHeight w:val="403"/>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Andrew Nelson</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5200" w:type="dxa"/>
            <w:vAlign w:val="bottom"/>
            <w:gridSpan w:val="4"/>
          </w:tcPr>
          <w:p>
            <w:pPr>
              <w:ind w:left="100"/>
              <w:spacing w:after="0" w:line="228" w:lineRule="exact"/>
              <w:rPr>
                <w:sz w:val="20"/>
                <w:szCs w:val="20"/>
                <w:color w:val="auto"/>
              </w:rPr>
            </w:pPr>
            <w:r>
              <w:rPr>
                <w:rFonts w:ascii="Times New Roman" w:cs="Times New Roman" w:eastAsia="Times New Roman" w:hAnsi="Times New Roman"/>
                <w:sz w:val="20"/>
                <w:szCs w:val="20"/>
                <w:color w:val="auto"/>
              </w:rPr>
              <w:t>Andrew Nelson</w:t>
            </w: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decimal"/>
      <w:start w:val="1"/>
    </w:lvl>
    <w:lvl w:ilvl="1">
      <w:lvlJc w:val="left"/>
      <w:lvlText w:val="(%2)"/>
      <w:numFmt w:val="lowerLetter"/>
      <w:start w:val="1"/>
    </w:lvl>
  </w:abstractNum>
  <w:abstractNum w:abstractNumId="3">
    <w:nsid w:val="4DB127F8"/>
    <w:multiLevelType w:val="hybridMultilevel"/>
    <w:lvl w:ilvl="0">
      <w:lvlJc w:val="left"/>
      <w:lvlText w:val="%1."/>
      <w:numFmt w:val="decimal"/>
      <w:start w:val="9"/>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1."/>
      <w:numFmt w:val="decimal"/>
      <w:start w:val="1"/>
    </w:lvl>
    <w:lvl w:ilvl="1">
      <w:lvlJc w:val="left"/>
      <w:lvlText w:val="(%2)"/>
      <w:numFmt w:val="lowerLetter"/>
      <w:start w:val="1"/>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9"/>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2024-02-08T18:04:07Z</dcterms:created>
  <dcterms:modified xsi:type="dcterms:W3CDTF">2024-02-08T18:04:07Z</dcterms:modified>
</cp:coreProperties>
</file>