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2499360</wp:posOffset>
            </wp:positionH>
            <wp:positionV relativeFrom="paragraph">
              <wp:posOffset>184150</wp:posOffset>
            </wp:positionV>
            <wp:extent cx="214312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143125" cy="17145"/>
                    </a:xfrm>
                    <a:prstGeom prst="rect">
                      <a:avLst/>
                    </a:prstGeom>
                    <a:noFill/>
                  </pic:spPr>
                </pic:pic>
              </a:graphicData>
            </a:graphic>
          </wp:anchor>
        </w:drawing>
      </w:r>
    </w:p>
    <w:p>
      <w:pPr>
        <w:spacing w:after="0" w:line="200" w:lineRule="exact"/>
        <w:rPr>
          <w:sz w:val="24"/>
          <w:szCs w:val="24"/>
          <w:color w:val="auto"/>
        </w:rPr>
      </w:pPr>
    </w:p>
    <w:p>
      <w:pPr>
        <w:spacing w:after="0" w:line="36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SCHEDULE 13G</w:t>
      </w:r>
    </w:p>
    <w:p>
      <w:pPr>
        <w:spacing w:after="0" w:line="23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2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(Amendment No.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2499360</wp:posOffset>
            </wp:positionH>
            <wp:positionV relativeFrom="paragraph">
              <wp:posOffset>217170</wp:posOffset>
            </wp:positionV>
            <wp:extent cx="214312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143125" cy="17145"/>
                    </a:xfrm>
                    <a:prstGeom prst="rect">
                      <a:avLst/>
                    </a:prstGeom>
                    <a:noFill/>
                  </pic:spPr>
                </pic:pic>
              </a:graphicData>
            </a:graphic>
          </wp:anchor>
        </w:drawing>
      </w:r>
    </w:p>
    <w:p>
      <w:pPr>
        <w:spacing w:after="0" w:line="200" w:lineRule="exact"/>
        <w:rPr>
          <w:sz w:val="24"/>
          <w:szCs w:val="24"/>
          <w:color w:val="auto"/>
        </w:rPr>
      </w:pPr>
    </w:p>
    <w:p>
      <w:pPr>
        <w:spacing w:after="0" w:line="39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Orchard Therapeutics plc</w:t>
      </w:r>
    </w:p>
    <w:p>
      <w:pPr>
        <w:spacing w:after="0" w:line="5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(Name of Issuer)</w:t>
      </w:r>
    </w:p>
    <w:p>
      <w:pPr>
        <w:spacing w:after="0" w:line="20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Ordinary Shares, nominal value £0.10 per share</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(Title of Class of Securities)</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68570P200</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(CUSIP Number)</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December 31, 2023</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(Date of Event Which Requires Filing of this Statement)</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 to Designate the Rule Pursuant to Which this Schedule Is Filed:</w:t>
      </w:r>
    </w:p>
    <w:p>
      <w:pPr>
        <w:spacing w:after="0" w:line="225" w:lineRule="exact"/>
        <w:rPr>
          <w:sz w:val="24"/>
          <w:szCs w:val="24"/>
          <w:color w:val="auto"/>
        </w:rPr>
      </w:pPr>
    </w:p>
    <w:p>
      <w:pPr>
        <w:ind w:left="580" w:hanging="572"/>
        <w:spacing w:after="0"/>
        <w:tabs>
          <w:tab w:leader="none" w:pos="5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13d-1(b)</w:t>
      </w:r>
    </w:p>
    <w:p>
      <w:pPr>
        <w:spacing w:after="0" w:line="225" w:lineRule="exact"/>
        <w:rPr>
          <w:sz w:val="24"/>
          <w:szCs w:val="24"/>
          <w:color w:val="auto"/>
        </w:rPr>
      </w:pPr>
    </w:p>
    <w:p>
      <w:pPr>
        <w:ind w:left="580" w:hanging="572"/>
        <w:spacing w:after="0"/>
        <w:tabs>
          <w:tab w:leader="none" w:pos="58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13d-1(c)</w:t>
      </w:r>
    </w:p>
    <w:p>
      <w:pPr>
        <w:spacing w:after="0" w:line="225" w:lineRule="exact"/>
        <w:rPr>
          <w:rFonts w:ascii="MS PGothic" w:cs="MS PGothic" w:eastAsia="MS PGothic" w:hAnsi="MS PGothic"/>
          <w:sz w:val="18"/>
          <w:szCs w:val="18"/>
          <w:color w:val="auto"/>
        </w:rPr>
      </w:pPr>
    </w:p>
    <w:p>
      <w:pPr>
        <w:ind w:left="580" w:hanging="572"/>
        <w:spacing w:after="0"/>
        <w:tabs>
          <w:tab w:leader="none" w:pos="58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13d-1(d)</w:t>
      </w:r>
    </w:p>
    <w:p>
      <w:pPr>
        <w:spacing w:after="0" w:line="225" w:lineRule="exact"/>
        <w:rPr>
          <w:sz w:val="24"/>
          <w:szCs w:val="24"/>
          <w:color w:val="auto"/>
        </w:rPr>
      </w:pPr>
    </w:p>
    <w:p>
      <w:pPr>
        <w:ind w:firstLine="8"/>
        <w:spacing w:after="0" w:line="282" w:lineRule="auto"/>
        <w:tabs>
          <w:tab w:leader="none" w:pos="1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62" w:lineRule="exact"/>
        <w:rPr>
          <w:sz w:val="24"/>
          <w:szCs w:val="24"/>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 xml:space="preserve">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w:t>
      </w:r>
      <w:r>
        <w:rPr>
          <w:rFonts w:ascii="Times New Roman" w:cs="Times New Roman" w:eastAsia="Times New Roman" w:hAnsi="Times New Roman"/>
          <w:sz w:val="18"/>
          <w:szCs w:val="18"/>
          <w:i w:val="1"/>
          <w:iCs w:val="1"/>
          <w:color w:val="auto"/>
        </w:rPr>
        <w:t>Notes</w:t>
      </w:r>
      <w:r>
        <w:rPr>
          <w:rFonts w:ascii="Times New Roman" w:cs="Times New Roman" w:eastAsia="Times New Roman" w:hAnsi="Times New Roman"/>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183515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277495</wp:posOffset>
            </wp:positionV>
            <wp:extent cx="7132320" cy="342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423545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16" w:right="359" w:bottom="1440" w:gutter="0" w:footer="0" w:header="0"/>
        </w:sectPr>
      </w:pPr>
    </w:p>
    <w:bookmarkStart w:id="1" w:name="page2"/>
    <w:bookmarkEnd w:id="1"/>
    <w:tbl>
      <w:tblPr>
        <w:tblLayout w:type="fixed"/>
        <w:tblInd w:w="10" w:type="dxa"/>
        <w:tblCellMar>
          <w:top w:w="0" w:type="dxa"/>
          <w:left w:w="0" w:type="dxa"/>
          <w:bottom w:w="0" w:type="dxa"/>
          <w:right w:w="0" w:type="dxa"/>
        </w:tblCellMar>
      </w:tblPr>
      <w:tr>
        <w:trPr>
          <w:trHeight w:val="257"/>
        </w:trPr>
        <w:tc>
          <w:tcPr>
            <w:tcW w:w="1400" w:type="dxa"/>
            <w:vAlign w:val="bottom"/>
            <w:tcBorders>
              <w:top w:val="single" w:sz="8" w:color="auto"/>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w:t>
            </w:r>
          </w:p>
        </w:tc>
        <w:tc>
          <w:tcPr>
            <w:tcW w:w="9720" w:type="dxa"/>
            <w:vAlign w:val="bottom"/>
            <w:tcBorders>
              <w:top w:val="single" w:sz="8" w:color="auto"/>
            </w:tcBorders>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NAMES OF REPORTING PERSONS</w:t>
            </w:r>
          </w:p>
        </w:tc>
        <w:tc>
          <w:tcPr>
            <w:tcW w:w="120" w:type="dxa"/>
            <w:vAlign w:val="bottom"/>
            <w:tcBorders>
              <w:top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9720" w:type="dxa"/>
            <w:vAlign w:val="bottom"/>
            <w:gridSpan w:val="6"/>
          </w:tcPr>
          <w:p>
            <w:pPr>
              <w:ind w:left="40"/>
              <w:spacing w:after="0"/>
              <w:rPr>
                <w:sz w:val="20"/>
                <w:szCs w:val="20"/>
                <w:color w:val="auto"/>
              </w:rPr>
            </w:pPr>
            <w:r>
              <w:rPr>
                <w:rFonts w:ascii="Times New Roman" w:cs="Times New Roman" w:eastAsia="Times New Roman" w:hAnsi="Times New Roman"/>
                <w:sz w:val="18"/>
                <w:szCs w:val="18"/>
                <w:b w:val="1"/>
                <w:bCs w:val="1"/>
                <w:color w:val="auto"/>
              </w:rPr>
              <w:t>Blue Owl Capital Holdings LP</w:t>
            </w: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9620" w:type="dxa"/>
            <w:vAlign w:val="bottom"/>
            <w:tcBorders>
              <w:bottom w:val="single" w:sz="8" w:color="auto"/>
            </w:tcBorders>
            <w:gridSpan w:val="5"/>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2"/>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2</w:t>
            </w:r>
          </w:p>
        </w:tc>
        <w:tc>
          <w:tcPr>
            <w:tcW w:w="972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CHECK THE APPROPRIATE BOX IF A MEMBER OF A GROUP</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400" w:type="dxa"/>
            <w:vAlign w:val="bottom"/>
            <w:tcBorders>
              <w:left w:val="single" w:sz="8" w:color="auto"/>
              <w:right w:val="single" w:sz="8" w:color="auto"/>
            </w:tcBorders>
            <w:vMerge w:val="continue"/>
          </w:tcPr>
          <w:p>
            <w:pPr>
              <w:spacing w:after="0"/>
              <w:rPr>
                <w:sz w:val="23"/>
                <w:szCs w:val="23"/>
                <w:color w:val="auto"/>
              </w:rPr>
            </w:pPr>
          </w:p>
        </w:tc>
        <w:tc>
          <w:tcPr>
            <w:tcW w:w="860" w:type="dxa"/>
            <w:vAlign w:val="bottom"/>
            <w:gridSpan w:val="2"/>
          </w:tcPr>
          <w:p>
            <w:pPr>
              <w:ind w:left="20"/>
              <w:spacing w:after="0" w:line="207" w:lineRule="exact"/>
              <w:rPr>
                <w:sz w:val="20"/>
                <w:szCs w:val="20"/>
                <w:color w:val="auto"/>
              </w:rPr>
            </w:pPr>
            <w:r>
              <w:rPr>
                <w:rFonts w:ascii="Times New Roman" w:cs="Times New Roman" w:eastAsia="Times New Roman" w:hAnsi="Times New Roman"/>
                <w:sz w:val="18"/>
                <w:szCs w:val="18"/>
                <w:color w:val="auto"/>
              </w:rPr>
              <w:t>(a)</w:t>
            </w:r>
            <w:r>
              <w:rPr>
                <w:rFonts w:ascii="MS PGothic" w:cs="MS PGothic" w:eastAsia="MS PGothic" w:hAnsi="MS PGothic"/>
                <w:sz w:val="18"/>
                <w:szCs w:val="18"/>
                <w:color w:val="auto"/>
              </w:rPr>
              <w:t>☐</w:t>
            </w:r>
          </w:p>
        </w:tc>
        <w:tc>
          <w:tcPr>
            <w:tcW w:w="4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3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302"/>
        </w:trPr>
        <w:tc>
          <w:tcPr>
            <w:tcW w:w="1400" w:type="dxa"/>
            <w:vAlign w:val="bottom"/>
            <w:tcBorders>
              <w:left w:val="single" w:sz="8" w:color="auto"/>
              <w:bottom w:val="single" w:sz="8" w:color="auto"/>
              <w:right w:val="single" w:sz="8" w:color="auto"/>
            </w:tcBorders>
          </w:tcPr>
          <w:p>
            <w:pPr>
              <w:spacing w:after="0"/>
              <w:rPr>
                <w:sz w:val="24"/>
                <w:szCs w:val="24"/>
                <w:color w:val="auto"/>
              </w:rPr>
            </w:pPr>
          </w:p>
        </w:tc>
        <w:tc>
          <w:tcPr>
            <w:tcW w:w="860" w:type="dxa"/>
            <w:vAlign w:val="bottom"/>
            <w:tcBorders>
              <w:bottom w:val="single" w:sz="8" w:color="auto"/>
            </w:tcBorders>
            <w:gridSpan w:val="2"/>
          </w:tcPr>
          <w:p>
            <w:pPr>
              <w:ind w:left="20"/>
              <w:spacing w:after="0" w:line="207" w:lineRule="exact"/>
              <w:rPr>
                <w:sz w:val="20"/>
                <w:szCs w:val="20"/>
                <w:color w:val="auto"/>
              </w:rPr>
            </w:pPr>
            <w:r>
              <w:rPr>
                <w:rFonts w:ascii="Times New Roman" w:cs="Times New Roman" w:eastAsia="Times New Roman" w:hAnsi="Times New Roman"/>
                <w:sz w:val="18"/>
                <w:szCs w:val="18"/>
                <w:color w:val="auto"/>
              </w:rPr>
              <w:t>(b)</w:t>
            </w:r>
            <w:r>
              <w:rPr>
                <w:rFonts w:ascii="MS PGothic" w:cs="MS PGothic" w:eastAsia="MS PGothic" w:hAnsi="MS PGothic"/>
                <w:sz w:val="18"/>
                <w:szCs w:val="18"/>
                <w:color w:val="auto"/>
              </w:rPr>
              <w:t>☐</w:t>
            </w:r>
          </w:p>
        </w:tc>
        <w:tc>
          <w:tcPr>
            <w:tcW w:w="4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3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3</w:t>
            </w:r>
          </w:p>
        </w:tc>
        <w:tc>
          <w:tcPr>
            <w:tcW w:w="1320" w:type="dxa"/>
            <w:vAlign w:val="bottom"/>
            <w:gridSpan w:val="4"/>
            <w:shd w:val="clear" w:color="auto" w:fill="BFBFBF"/>
          </w:tcPr>
          <w:p>
            <w:pPr>
              <w:ind w:left="20"/>
              <w:spacing w:after="0"/>
              <w:rPr>
                <w:sz w:val="20"/>
                <w:szCs w:val="20"/>
                <w:color w:val="auto"/>
              </w:rPr>
            </w:pPr>
            <w:r>
              <w:rPr>
                <w:rFonts w:ascii="Times New Roman" w:cs="Times New Roman" w:eastAsia="Times New Roman" w:hAnsi="Times New Roman"/>
                <w:sz w:val="18"/>
                <w:szCs w:val="18"/>
                <w:b w:val="1"/>
                <w:bCs w:val="1"/>
                <w:color w:val="auto"/>
                <w:w w:val="97"/>
              </w:rPr>
              <w:t>SEC USE ONLY</w:t>
            </w:r>
          </w:p>
        </w:tc>
        <w:tc>
          <w:tcPr>
            <w:tcW w:w="8300" w:type="dxa"/>
            <w:vAlign w:val="bottom"/>
            <w:shd w:val="clear" w:color="auto" w:fill="BFBFBF"/>
          </w:tcPr>
          <w:p>
            <w:pPr>
              <w:spacing w:after="0"/>
              <w:rPr>
                <w:sz w:val="20"/>
                <w:szCs w:val="20"/>
                <w:color w:val="auto"/>
              </w:rPr>
            </w:pPr>
          </w:p>
        </w:tc>
        <w:tc>
          <w:tcPr>
            <w:tcW w:w="100" w:type="dxa"/>
            <w:vAlign w:val="bottom"/>
            <w:shd w:val="clear" w:color="auto" w:fill="BFBFBF"/>
          </w:tcPr>
          <w:p>
            <w:pPr>
              <w:spacing w:after="0"/>
              <w:rPr>
                <w:sz w:val="20"/>
                <w:szCs w:val="20"/>
                <w:color w:val="auto"/>
              </w:rPr>
            </w:pPr>
          </w:p>
        </w:tc>
        <w:tc>
          <w:tcPr>
            <w:tcW w:w="120" w:type="dxa"/>
            <w:vAlign w:val="bottom"/>
            <w:tcBorders>
              <w:right w:val="single" w:sz="8" w:color="auto"/>
            </w:tcBorders>
            <w:shd w:val="clear" w:color="auto" w:fill="BFBFBF"/>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Borders>
              <w:right w:val="single" w:sz="8" w:color="BFBFBF"/>
            </w:tcBorders>
            <w:shd w:val="clear" w:color="auto" w:fill="BFBFBF"/>
          </w:tcPr>
          <w:p>
            <w:pPr>
              <w:spacing w:after="0"/>
              <w:rPr>
                <w:sz w:val="24"/>
                <w:szCs w:val="24"/>
                <w:color w:val="auto"/>
              </w:rPr>
            </w:pPr>
          </w:p>
        </w:tc>
        <w:tc>
          <w:tcPr>
            <w:tcW w:w="220" w:type="dxa"/>
            <w:vAlign w:val="bottom"/>
            <w:shd w:val="clear" w:color="auto" w:fill="BFBFBF"/>
          </w:tcPr>
          <w:p>
            <w:pPr>
              <w:spacing w:after="0"/>
              <w:rPr>
                <w:sz w:val="24"/>
                <w:szCs w:val="24"/>
                <w:color w:val="auto"/>
              </w:rPr>
            </w:pPr>
          </w:p>
        </w:tc>
        <w:tc>
          <w:tcPr>
            <w:tcW w:w="440" w:type="dxa"/>
            <w:vAlign w:val="bottom"/>
            <w:tcBorders>
              <w:right w:val="single" w:sz="8" w:color="BFBFBF"/>
            </w:tcBorders>
            <w:shd w:val="clear" w:color="auto" w:fill="BFBFBF"/>
          </w:tcPr>
          <w:p>
            <w:pPr>
              <w:spacing w:after="0"/>
              <w:rPr>
                <w:sz w:val="24"/>
                <w:szCs w:val="24"/>
                <w:color w:val="auto"/>
              </w:rPr>
            </w:pPr>
          </w:p>
        </w:tc>
        <w:tc>
          <w:tcPr>
            <w:tcW w:w="20" w:type="dxa"/>
            <w:vAlign w:val="bottom"/>
            <w:shd w:val="clear" w:color="auto" w:fill="BFBFBF"/>
          </w:tcPr>
          <w:p>
            <w:pPr>
              <w:spacing w:after="0"/>
              <w:rPr>
                <w:sz w:val="24"/>
                <w:szCs w:val="24"/>
                <w:color w:val="auto"/>
              </w:rPr>
            </w:pPr>
          </w:p>
        </w:tc>
        <w:tc>
          <w:tcPr>
            <w:tcW w:w="8300" w:type="dxa"/>
            <w:vAlign w:val="bottom"/>
            <w:shd w:val="clear" w:color="auto" w:fill="BFBFBF"/>
          </w:tcPr>
          <w:p>
            <w:pPr>
              <w:spacing w:after="0"/>
              <w:rPr>
                <w:sz w:val="24"/>
                <w:szCs w:val="24"/>
                <w:color w:val="auto"/>
              </w:rPr>
            </w:pPr>
          </w:p>
        </w:tc>
        <w:tc>
          <w:tcPr>
            <w:tcW w:w="100" w:type="dxa"/>
            <w:vAlign w:val="bottom"/>
            <w:shd w:val="clear" w:color="auto" w:fill="BFBFBF"/>
          </w:tcPr>
          <w:p>
            <w:pPr>
              <w:spacing w:after="0"/>
              <w:rPr>
                <w:sz w:val="24"/>
                <w:szCs w:val="24"/>
                <w:color w:val="auto"/>
              </w:rPr>
            </w:pPr>
          </w:p>
        </w:tc>
        <w:tc>
          <w:tcPr>
            <w:tcW w:w="120" w:type="dxa"/>
            <w:vAlign w:val="bottom"/>
            <w:tcBorders>
              <w:right w:val="single" w:sz="8" w:color="auto"/>
            </w:tcBorders>
            <w:shd w:val="clear" w:color="auto" w:fill="BFBFB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400" w:type="dxa"/>
            <w:vAlign w:val="bottom"/>
            <w:tcBorders>
              <w:left w:val="single" w:sz="8" w:color="auto"/>
              <w:bottom w:val="single" w:sz="8" w:color="auto"/>
              <w:right w:val="single" w:sz="8" w:color="auto"/>
            </w:tcBorders>
          </w:tcPr>
          <w:p>
            <w:pPr>
              <w:spacing w:after="0"/>
              <w:rPr>
                <w:sz w:val="23"/>
                <w:szCs w:val="23"/>
                <w:color w:val="auto"/>
              </w:rPr>
            </w:pPr>
          </w:p>
        </w:tc>
        <w:tc>
          <w:tcPr>
            <w:tcW w:w="640" w:type="dxa"/>
            <w:vAlign w:val="bottom"/>
            <w:tcBorders>
              <w:bottom w:val="single" w:sz="8" w:color="auto"/>
              <w:right w:val="single" w:sz="8" w:color="BFBFBF"/>
            </w:tcBorders>
            <w:shd w:val="clear" w:color="auto" w:fill="BFBFBF"/>
          </w:tcPr>
          <w:p>
            <w:pPr>
              <w:spacing w:after="0"/>
              <w:rPr>
                <w:sz w:val="23"/>
                <w:szCs w:val="23"/>
                <w:color w:val="auto"/>
              </w:rPr>
            </w:pPr>
          </w:p>
        </w:tc>
        <w:tc>
          <w:tcPr>
            <w:tcW w:w="220" w:type="dxa"/>
            <w:vAlign w:val="bottom"/>
            <w:tcBorders>
              <w:bottom w:val="single" w:sz="8" w:color="auto"/>
            </w:tcBorders>
            <w:shd w:val="clear" w:color="auto" w:fill="BFBFBF"/>
          </w:tcPr>
          <w:p>
            <w:pPr>
              <w:spacing w:after="0"/>
              <w:rPr>
                <w:sz w:val="23"/>
                <w:szCs w:val="23"/>
                <w:color w:val="auto"/>
              </w:rPr>
            </w:pPr>
          </w:p>
        </w:tc>
        <w:tc>
          <w:tcPr>
            <w:tcW w:w="440" w:type="dxa"/>
            <w:vAlign w:val="bottom"/>
            <w:tcBorders>
              <w:bottom w:val="single" w:sz="8" w:color="auto"/>
              <w:right w:val="single" w:sz="8" w:color="BFBFBF"/>
            </w:tcBorders>
            <w:shd w:val="clear" w:color="auto" w:fill="BFBFBF"/>
          </w:tcPr>
          <w:p>
            <w:pPr>
              <w:spacing w:after="0"/>
              <w:rPr>
                <w:sz w:val="23"/>
                <w:szCs w:val="23"/>
                <w:color w:val="auto"/>
              </w:rPr>
            </w:pPr>
          </w:p>
        </w:tc>
        <w:tc>
          <w:tcPr>
            <w:tcW w:w="20" w:type="dxa"/>
            <w:vAlign w:val="bottom"/>
            <w:tcBorders>
              <w:bottom w:val="single" w:sz="8" w:color="auto"/>
            </w:tcBorders>
            <w:shd w:val="clear" w:color="auto" w:fill="BFBFBF"/>
          </w:tcPr>
          <w:p>
            <w:pPr>
              <w:spacing w:after="0"/>
              <w:rPr>
                <w:sz w:val="23"/>
                <w:szCs w:val="23"/>
                <w:color w:val="auto"/>
              </w:rPr>
            </w:pPr>
          </w:p>
        </w:tc>
        <w:tc>
          <w:tcPr>
            <w:tcW w:w="8300" w:type="dxa"/>
            <w:vAlign w:val="bottom"/>
            <w:tcBorders>
              <w:bottom w:val="single" w:sz="8" w:color="auto"/>
            </w:tcBorders>
            <w:shd w:val="clear" w:color="auto" w:fill="BFBFBF"/>
          </w:tcPr>
          <w:p>
            <w:pPr>
              <w:spacing w:after="0"/>
              <w:rPr>
                <w:sz w:val="23"/>
                <w:szCs w:val="23"/>
                <w:color w:val="auto"/>
              </w:rPr>
            </w:pPr>
          </w:p>
        </w:tc>
        <w:tc>
          <w:tcPr>
            <w:tcW w:w="100" w:type="dxa"/>
            <w:vAlign w:val="bottom"/>
            <w:tcBorders>
              <w:bottom w:val="single" w:sz="8" w:color="auto"/>
            </w:tcBorders>
            <w:shd w:val="clear" w:color="auto" w:fill="BFBFBF"/>
          </w:tcPr>
          <w:p>
            <w:pPr>
              <w:spacing w:after="0"/>
              <w:rPr>
                <w:sz w:val="23"/>
                <w:szCs w:val="23"/>
                <w:color w:val="auto"/>
              </w:rPr>
            </w:pPr>
          </w:p>
        </w:tc>
        <w:tc>
          <w:tcPr>
            <w:tcW w:w="120" w:type="dxa"/>
            <w:vAlign w:val="bottom"/>
            <w:tcBorders>
              <w:bottom w:val="single" w:sz="8" w:color="auto"/>
              <w:right w:val="single" w:sz="8" w:color="auto"/>
            </w:tcBorders>
            <w:shd w:val="clear" w:color="auto" w:fill="BFBFB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4</w:t>
            </w:r>
          </w:p>
        </w:tc>
        <w:tc>
          <w:tcPr>
            <w:tcW w:w="972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CITIZENSHIP OR PLACE OF ORGANIZATION</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86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3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440" w:type="dxa"/>
            <w:vAlign w:val="bottom"/>
            <w:tcBorders>
              <w:right w:val="single" w:sz="8" w:color="auto"/>
            </w:tcBorders>
            <w:vMerge w:val="restart"/>
          </w:tcPr>
          <w:p>
            <w:pPr>
              <w:jc w:val="right"/>
              <w:ind w:right="98"/>
              <w:spacing w:after="0"/>
              <w:rPr>
                <w:sz w:val="20"/>
                <w:szCs w:val="20"/>
                <w:color w:val="auto"/>
              </w:rPr>
            </w:pPr>
            <w:r>
              <w:rPr>
                <w:rFonts w:ascii="Times New Roman" w:cs="Times New Roman" w:eastAsia="Times New Roman" w:hAnsi="Times New Roman"/>
                <w:sz w:val="32"/>
                <w:szCs w:val="32"/>
                <w:b w:val="1"/>
                <w:bCs w:val="1"/>
                <w:color w:val="auto"/>
                <w:w w:val="99"/>
              </w:rPr>
              <w:t>5</w:t>
            </w:r>
          </w:p>
        </w:tc>
        <w:tc>
          <w:tcPr>
            <w:tcW w:w="20" w:type="dxa"/>
            <w:vAlign w:val="bottom"/>
          </w:tcPr>
          <w:p>
            <w:pPr>
              <w:spacing w:after="0"/>
              <w:rPr>
                <w:sz w:val="20"/>
                <w:szCs w:val="20"/>
                <w:color w:val="auto"/>
              </w:rPr>
            </w:pPr>
          </w:p>
        </w:tc>
        <w:tc>
          <w:tcPr>
            <w:tcW w:w="84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SOLE VOTING POWER</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tcBorders>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Borders>
              <w:right w:val="single" w:sz="8" w:color="auto"/>
            </w:tcBorders>
            <w:vMerge w:val="continue"/>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15,596,600</w:t>
            </w: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tcBorders>
          </w:tcPr>
          <w:p>
            <w:pPr>
              <w:spacing w:after="0"/>
              <w:rPr>
                <w:sz w:val="14"/>
                <w:szCs w:val="14"/>
                <w:color w:val="auto"/>
              </w:rPr>
            </w:pPr>
          </w:p>
        </w:tc>
        <w:tc>
          <w:tcPr>
            <w:tcW w:w="640" w:type="dxa"/>
            <w:vAlign w:val="bottom"/>
            <w:tcBorders>
              <w:right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440" w:type="dxa"/>
            <w:vAlign w:val="bottom"/>
            <w:tcBorders>
              <w:bottom w:val="single" w:sz="8" w:color="auto"/>
              <w:right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3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440" w:type="dxa"/>
            <w:vAlign w:val="bottom"/>
            <w:tcBorders>
              <w:right w:val="single" w:sz="8" w:color="auto"/>
            </w:tcBorders>
            <w:vMerge w:val="restart"/>
          </w:tcPr>
          <w:p>
            <w:pPr>
              <w:jc w:val="right"/>
              <w:ind w:right="98"/>
              <w:spacing w:after="0"/>
              <w:rPr>
                <w:sz w:val="20"/>
                <w:szCs w:val="20"/>
                <w:color w:val="auto"/>
              </w:rPr>
            </w:pPr>
            <w:r>
              <w:rPr>
                <w:rFonts w:ascii="Times New Roman" w:cs="Times New Roman" w:eastAsia="Times New Roman" w:hAnsi="Times New Roman"/>
                <w:sz w:val="32"/>
                <w:szCs w:val="32"/>
                <w:b w:val="1"/>
                <w:bCs w:val="1"/>
                <w:color w:val="auto"/>
                <w:w w:val="99"/>
              </w:rPr>
              <w:t>6</w:t>
            </w:r>
          </w:p>
        </w:tc>
        <w:tc>
          <w:tcPr>
            <w:tcW w:w="20" w:type="dxa"/>
            <w:vAlign w:val="bottom"/>
          </w:tcPr>
          <w:p>
            <w:pPr>
              <w:spacing w:after="0"/>
              <w:rPr>
                <w:sz w:val="20"/>
                <w:szCs w:val="20"/>
                <w:color w:val="auto"/>
              </w:rPr>
            </w:pPr>
          </w:p>
        </w:tc>
        <w:tc>
          <w:tcPr>
            <w:tcW w:w="84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SHARED VOTING POWER</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2040" w:type="dxa"/>
            <w:vAlign w:val="bottom"/>
            <w:tcBorders>
              <w:left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 OF SHARES</w:t>
            </w:r>
          </w:p>
        </w:tc>
        <w:tc>
          <w:tcPr>
            <w:tcW w:w="220" w:type="dxa"/>
            <w:vAlign w:val="bottom"/>
          </w:tcPr>
          <w:p>
            <w:pPr>
              <w:spacing w:after="0"/>
              <w:rPr>
                <w:sz w:val="19"/>
                <w:szCs w:val="19"/>
                <w:color w:val="auto"/>
              </w:rPr>
            </w:pPr>
          </w:p>
        </w:tc>
        <w:tc>
          <w:tcPr>
            <w:tcW w:w="440" w:type="dxa"/>
            <w:vAlign w:val="bottom"/>
            <w:tcBorders>
              <w:right w:val="single" w:sz="8" w:color="auto"/>
            </w:tcBorders>
            <w:vMerge w:val="continue"/>
          </w:tcPr>
          <w:p>
            <w:pPr>
              <w:spacing w:after="0"/>
              <w:rPr>
                <w:sz w:val="19"/>
                <w:szCs w:val="19"/>
                <w:color w:val="auto"/>
              </w:rPr>
            </w:pPr>
          </w:p>
        </w:tc>
        <w:tc>
          <w:tcPr>
            <w:tcW w:w="20" w:type="dxa"/>
            <w:vAlign w:val="bottom"/>
          </w:tcPr>
          <w:p>
            <w:pPr>
              <w:spacing w:after="0"/>
              <w:rPr>
                <w:sz w:val="19"/>
                <w:szCs w:val="19"/>
                <w:color w:val="auto"/>
              </w:rPr>
            </w:pPr>
          </w:p>
        </w:tc>
        <w:tc>
          <w:tcPr>
            <w:tcW w:w="830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0</w:t>
            </w:r>
          </w:p>
        </w:tc>
        <w:tc>
          <w:tcPr>
            <w:tcW w:w="10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40" w:type="dxa"/>
            <w:vAlign w:val="bottom"/>
            <w:tcBorders>
              <w:left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220" w:type="dxa"/>
            <w:vAlign w:val="bottom"/>
          </w:tcPr>
          <w:p>
            <w:pPr>
              <w:spacing w:after="0"/>
              <w:rPr>
                <w:sz w:val="18"/>
                <w:szCs w:val="18"/>
                <w:color w:val="auto"/>
              </w:rPr>
            </w:pPr>
          </w:p>
        </w:tc>
        <w:tc>
          <w:tcPr>
            <w:tcW w:w="44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3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30"/>
        </w:trPr>
        <w:tc>
          <w:tcPr>
            <w:tcW w:w="2040" w:type="dxa"/>
            <w:vAlign w:val="bottom"/>
            <w:tcBorders>
              <w:left w:val="single" w:sz="8" w:color="auto"/>
              <w:right w:val="single" w:sz="8" w:color="auto"/>
            </w:tcBorders>
            <w:gridSpan w:val="2"/>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OWNED BY EACH</w:t>
            </w:r>
          </w:p>
        </w:tc>
        <w:tc>
          <w:tcPr>
            <w:tcW w:w="220" w:type="dxa"/>
            <w:vAlign w:val="bottom"/>
            <w:tcBorders>
              <w:bottom w:val="single" w:sz="8" w:color="auto"/>
            </w:tcBorders>
          </w:tcPr>
          <w:p>
            <w:pPr>
              <w:spacing w:after="0"/>
              <w:rPr>
                <w:sz w:val="11"/>
                <w:szCs w:val="11"/>
                <w:color w:val="auto"/>
              </w:rPr>
            </w:pPr>
          </w:p>
        </w:tc>
        <w:tc>
          <w:tcPr>
            <w:tcW w:w="440" w:type="dxa"/>
            <w:vAlign w:val="bottom"/>
            <w:tcBorders>
              <w:bottom w:val="single" w:sz="8" w:color="auto"/>
              <w:right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3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2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66"/>
        </w:trPr>
        <w:tc>
          <w:tcPr>
            <w:tcW w:w="2040" w:type="dxa"/>
            <w:vAlign w:val="bottom"/>
            <w:tcBorders>
              <w:left w:val="single" w:sz="8" w:color="auto"/>
              <w:right w:val="single" w:sz="8" w:color="auto"/>
            </w:tcBorders>
            <w:gridSpan w:val="2"/>
            <w:vMerge w:val="continue"/>
          </w:tcPr>
          <w:p>
            <w:pPr>
              <w:spacing w:after="0"/>
              <w:rPr>
                <w:sz w:val="5"/>
                <w:szCs w:val="5"/>
                <w:color w:val="auto"/>
              </w:rPr>
            </w:pPr>
          </w:p>
        </w:tc>
        <w:tc>
          <w:tcPr>
            <w:tcW w:w="220" w:type="dxa"/>
            <w:vAlign w:val="bottom"/>
          </w:tcPr>
          <w:p>
            <w:pPr>
              <w:spacing w:after="0"/>
              <w:rPr>
                <w:sz w:val="5"/>
                <w:szCs w:val="5"/>
                <w:color w:val="auto"/>
              </w:rPr>
            </w:pPr>
          </w:p>
        </w:tc>
        <w:tc>
          <w:tcPr>
            <w:tcW w:w="440" w:type="dxa"/>
            <w:vAlign w:val="bottom"/>
            <w:tcBorders>
              <w:right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84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SOLE DISPOSITIVE POWER</w:t>
            </w:r>
          </w:p>
        </w:tc>
        <w:tc>
          <w:tcPr>
            <w:tcW w:w="12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40" w:type="dxa"/>
            <w:vAlign w:val="bottom"/>
            <w:tcBorders>
              <w:left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REPORTING PERSON</w:t>
            </w:r>
          </w:p>
        </w:tc>
        <w:tc>
          <w:tcPr>
            <w:tcW w:w="220" w:type="dxa"/>
            <w:vAlign w:val="bottom"/>
          </w:tcPr>
          <w:p>
            <w:pPr>
              <w:spacing w:after="0"/>
              <w:rPr>
                <w:sz w:val="18"/>
                <w:szCs w:val="18"/>
                <w:color w:val="auto"/>
              </w:rPr>
            </w:pPr>
          </w:p>
        </w:tc>
        <w:tc>
          <w:tcPr>
            <w:tcW w:w="440" w:type="dxa"/>
            <w:vAlign w:val="bottom"/>
            <w:tcBorders>
              <w:right w:val="single" w:sz="8" w:color="auto"/>
            </w:tcBorders>
            <w:vMerge w:val="restart"/>
          </w:tcPr>
          <w:p>
            <w:pPr>
              <w:jc w:val="right"/>
              <w:ind w:right="98"/>
              <w:spacing w:after="0"/>
              <w:rPr>
                <w:sz w:val="20"/>
                <w:szCs w:val="20"/>
                <w:color w:val="auto"/>
              </w:rPr>
            </w:pPr>
            <w:r>
              <w:rPr>
                <w:rFonts w:ascii="Times New Roman" w:cs="Times New Roman" w:eastAsia="Times New Roman" w:hAnsi="Times New Roman"/>
                <w:sz w:val="32"/>
                <w:szCs w:val="32"/>
                <w:b w:val="1"/>
                <w:bCs w:val="1"/>
                <w:color w:val="auto"/>
                <w:w w:val="99"/>
              </w:rPr>
              <w:t>7</w:t>
            </w:r>
          </w:p>
        </w:tc>
        <w:tc>
          <w:tcPr>
            <w:tcW w:w="20" w:type="dxa"/>
            <w:vAlign w:val="bottom"/>
          </w:tcPr>
          <w:p>
            <w:pPr>
              <w:spacing w:after="0"/>
              <w:rPr>
                <w:sz w:val="18"/>
                <w:szCs w:val="18"/>
                <w:color w:val="auto"/>
              </w:rPr>
            </w:pPr>
          </w:p>
        </w:tc>
        <w:tc>
          <w:tcPr>
            <w:tcW w:w="8400" w:type="dxa"/>
            <w:vAlign w:val="bottom"/>
            <w:gridSpan w:val="2"/>
            <w:vMerge w:val="continue"/>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400" w:type="dxa"/>
            <w:vAlign w:val="bottom"/>
            <w:tcBorders>
              <w:left w:val="single" w:sz="8" w:color="auto"/>
            </w:tcBorders>
          </w:tcPr>
          <w:p>
            <w:pPr>
              <w:jc w:val="center"/>
              <w:ind w:left="506"/>
              <w:spacing w:after="0"/>
              <w:rPr>
                <w:sz w:val="20"/>
                <w:szCs w:val="20"/>
                <w:color w:val="auto"/>
              </w:rPr>
            </w:pPr>
            <w:r>
              <w:rPr>
                <w:rFonts w:ascii="Times New Roman" w:cs="Times New Roman" w:eastAsia="Times New Roman" w:hAnsi="Times New Roman"/>
                <w:sz w:val="18"/>
                <w:szCs w:val="18"/>
                <w:b w:val="1"/>
                <w:bCs w:val="1"/>
                <w:color w:val="auto"/>
              </w:rPr>
              <w:t>WITH</w:t>
            </w:r>
          </w:p>
        </w:tc>
        <w:tc>
          <w:tcPr>
            <w:tcW w:w="640" w:type="dxa"/>
            <w:vAlign w:val="bottom"/>
            <w:tcBorders>
              <w:right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440" w:type="dxa"/>
            <w:vAlign w:val="bottom"/>
            <w:tcBorders>
              <w:right w:val="single" w:sz="8" w:color="auto"/>
            </w:tcBorders>
            <w:vMerge w:val="continue"/>
          </w:tcPr>
          <w:p>
            <w:pPr>
              <w:spacing w:after="0"/>
              <w:rPr>
                <w:sz w:val="20"/>
                <w:szCs w:val="20"/>
                <w:color w:val="auto"/>
              </w:rPr>
            </w:pPr>
          </w:p>
        </w:tc>
        <w:tc>
          <w:tcPr>
            <w:tcW w:w="20" w:type="dxa"/>
            <w:vAlign w:val="bottom"/>
          </w:tcPr>
          <w:p>
            <w:pPr>
              <w:spacing w:after="0"/>
              <w:rPr>
                <w:sz w:val="20"/>
                <w:szCs w:val="20"/>
                <w:color w:val="auto"/>
              </w:rPr>
            </w:pPr>
          </w:p>
        </w:tc>
        <w:tc>
          <w:tcPr>
            <w:tcW w:w="830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15,596,600</w:t>
            </w:r>
          </w:p>
        </w:tc>
        <w:tc>
          <w:tcPr>
            <w:tcW w:w="100" w:type="dxa"/>
            <w:vAlign w:val="bottom"/>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22"/>
        </w:trPr>
        <w:tc>
          <w:tcPr>
            <w:tcW w:w="1400" w:type="dxa"/>
            <w:vAlign w:val="bottom"/>
            <w:tcBorders>
              <w:left w:val="single" w:sz="8" w:color="auto"/>
            </w:tcBorders>
          </w:tcPr>
          <w:p>
            <w:pPr>
              <w:spacing w:after="0"/>
              <w:rPr>
                <w:sz w:val="10"/>
                <w:szCs w:val="10"/>
                <w:color w:val="auto"/>
              </w:rPr>
            </w:pPr>
          </w:p>
        </w:tc>
        <w:tc>
          <w:tcPr>
            <w:tcW w:w="640" w:type="dxa"/>
            <w:vAlign w:val="bottom"/>
            <w:tcBorders>
              <w:right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440" w:type="dxa"/>
            <w:vAlign w:val="bottom"/>
            <w:tcBorders>
              <w:right w:val="single" w:sz="8" w:color="auto"/>
            </w:tcBorders>
            <w:vMerge w:val="continue"/>
          </w:tcPr>
          <w:p>
            <w:pPr>
              <w:spacing w:after="0"/>
              <w:rPr>
                <w:sz w:val="10"/>
                <w:szCs w:val="10"/>
                <w:color w:val="auto"/>
              </w:rPr>
            </w:pPr>
          </w:p>
        </w:tc>
        <w:tc>
          <w:tcPr>
            <w:tcW w:w="20" w:type="dxa"/>
            <w:vAlign w:val="bottom"/>
          </w:tcPr>
          <w:p>
            <w:pPr>
              <w:spacing w:after="0"/>
              <w:rPr>
                <w:sz w:val="10"/>
                <w:szCs w:val="10"/>
                <w:color w:val="auto"/>
              </w:rPr>
            </w:pPr>
          </w:p>
        </w:tc>
        <w:tc>
          <w:tcPr>
            <w:tcW w:w="830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tcBorders>
          </w:tcPr>
          <w:p>
            <w:pPr>
              <w:spacing w:after="0"/>
              <w:rPr>
                <w:sz w:val="14"/>
                <w:szCs w:val="14"/>
                <w:color w:val="auto"/>
              </w:rPr>
            </w:pPr>
          </w:p>
        </w:tc>
        <w:tc>
          <w:tcPr>
            <w:tcW w:w="640" w:type="dxa"/>
            <w:vAlign w:val="bottom"/>
            <w:tcBorders>
              <w:right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440" w:type="dxa"/>
            <w:vAlign w:val="bottom"/>
            <w:tcBorders>
              <w:bottom w:val="single" w:sz="8" w:color="auto"/>
              <w:right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3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440" w:type="dxa"/>
            <w:vAlign w:val="bottom"/>
            <w:tcBorders>
              <w:right w:val="single" w:sz="8" w:color="auto"/>
            </w:tcBorders>
            <w:vMerge w:val="restart"/>
          </w:tcPr>
          <w:p>
            <w:pPr>
              <w:jc w:val="right"/>
              <w:ind w:right="98"/>
              <w:spacing w:after="0"/>
              <w:rPr>
                <w:sz w:val="20"/>
                <w:szCs w:val="20"/>
                <w:color w:val="auto"/>
              </w:rPr>
            </w:pPr>
            <w:r>
              <w:rPr>
                <w:rFonts w:ascii="Times New Roman" w:cs="Times New Roman" w:eastAsia="Times New Roman" w:hAnsi="Times New Roman"/>
                <w:sz w:val="32"/>
                <w:szCs w:val="32"/>
                <w:b w:val="1"/>
                <w:bCs w:val="1"/>
                <w:color w:val="auto"/>
                <w:w w:val="99"/>
              </w:rPr>
              <w:t>8</w:t>
            </w:r>
          </w:p>
        </w:tc>
        <w:tc>
          <w:tcPr>
            <w:tcW w:w="20" w:type="dxa"/>
            <w:vAlign w:val="bottom"/>
          </w:tcPr>
          <w:p>
            <w:pPr>
              <w:spacing w:after="0"/>
              <w:rPr>
                <w:sz w:val="20"/>
                <w:szCs w:val="20"/>
                <w:color w:val="auto"/>
              </w:rPr>
            </w:pPr>
          </w:p>
        </w:tc>
        <w:tc>
          <w:tcPr>
            <w:tcW w:w="84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SHARED DISPOSITIVE POWER</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tcBorders>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Borders>
              <w:right w:val="single" w:sz="8" w:color="auto"/>
            </w:tcBorders>
            <w:vMerge w:val="continue"/>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0</w:t>
            </w: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tcBorders>
          </w:tcPr>
          <w:p>
            <w:pPr>
              <w:spacing w:after="0"/>
              <w:rPr>
                <w:sz w:val="14"/>
                <w:szCs w:val="14"/>
                <w:color w:val="auto"/>
              </w:rPr>
            </w:pPr>
          </w:p>
        </w:tc>
        <w:tc>
          <w:tcPr>
            <w:tcW w:w="640" w:type="dxa"/>
            <w:vAlign w:val="bottom"/>
            <w:tcBorders>
              <w:bottom w:val="single" w:sz="8" w:color="auto"/>
              <w:right w:val="single" w:sz="8" w:color="auto"/>
            </w:tcBorders>
          </w:tcPr>
          <w:p>
            <w:pPr>
              <w:spacing w:after="0"/>
              <w:rPr>
                <w:sz w:val="14"/>
                <w:szCs w:val="14"/>
                <w:color w:val="auto"/>
              </w:rPr>
            </w:pPr>
          </w:p>
        </w:tc>
        <w:tc>
          <w:tcPr>
            <w:tcW w:w="660" w:type="dxa"/>
            <w:vAlign w:val="bottom"/>
            <w:tcBorders>
              <w:bottom w:val="single" w:sz="8" w:color="auto"/>
              <w:right w:val="single" w:sz="8" w:color="auto"/>
            </w:tcBorders>
            <w:gridSpan w:val="2"/>
          </w:tcPr>
          <w:p>
            <w:pPr>
              <w:spacing w:after="0"/>
              <w:rPr>
                <w:sz w:val="14"/>
                <w:szCs w:val="14"/>
                <w:color w:val="auto"/>
              </w:rPr>
            </w:pPr>
          </w:p>
        </w:tc>
        <w:tc>
          <w:tcPr>
            <w:tcW w:w="8320" w:type="dxa"/>
            <w:vAlign w:val="bottom"/>
            <w:tcBorders>
              <w:bottom w:val="single" w:sz="8" w:color="auto"/>
            </w:tcBorders>
            <w:gridSpan w:val="2"/>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9</w:t>
            </w:r>
          </w:p>
        </w:tc>
        <w:tc>
          <w:tcPr>
            <w:tcW w:w="972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AGGREGATE AMOUNT BENEFICIALLY OWNED BY EACH REPORTING PERSON</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86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w w:val="98"/>
              </w:rPr>
              <w:t>15,596,600</w:t>
            </w: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spacing w:after="0"/>
              <w:rPr>
                <w:sz w:val="14"/>
                <w:szCs w:val="14"/>
                <w:color w:val="auto"/>
              </w:rPr>
            </w:pPr>
          </w:p>
        </w:tc>
        <w:tc>
          <w:tcPr>
            <w:tcW w:w="8320" w:type="dxa"/>
            <w:vAlign w:val="bottom"/>
            <w:tcBorders>
              <w:bottom w:val="single" w:sz="8" w:color="auto"/>
            </w:tcBorders>
            <w:gridSpan w:val="2"/>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10</w:t>
            </w:r>
          </w:p>
        </w:tc>
        <w:tc>
          <w:tcPr>
            <w:tcW w:w="972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CHECK IF THE AGGREGATE AMOUNT IN ROW (9) EXCLUDES CERTAIN SHARES (SEE INSTRUCTIONS)</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51"/>
        </w:trPr>
        <w:tc>
          <w:tcPr>
            <w:tcW w:w="1400" w:type="dxa"/>
            <w:vAlign w:val="bottom"/>
            <w:tcBorders>
              <w:left w:val="single" w:sz="8" w:color="auto"/>
              <w:right w:val="single" w:sz="8" w:color="auto"/>
            </w:tcBorders>
            <w:vMerge w:val="continue"/>
          </w:tcPr>
          <w:p>
            <w:pPr>
              <w:spacing w:after="0"/>
              <w:rPr>
                <w:sz w:val="24"/>
                <w:szCs w:val="24"/>
                <w:color w:val="auto"/>
              </w:rPr>
            </w:pPr>
          </w:p>
        </w:tc>
        <w:tc>
          <w:tcPr>
            <w:tcW w:w="860" w:type="dxa"/>
            <w:vAlign w:val="bottom"/>
            <w:gridSpan w:val="2"/>
            <w:vMerge w:val="restart"/>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82"/>
        </w:trPr>
        <w:tc>
          <w:tcPr>
            <w:tcW w:w="1400" w:type="dxa"/>
            <w:vAlign w:val="bottom"/>
            <w:tcBorders>
              <w:left w:val="single" w:sz="8" w:color="auto"/>
              <w:right w:val="single" w:sz="8" w:color="auto"/>
            </w:tcBorders>
          </w:tcPr>
          <w:p>
            <w:pPr>
              <w:spacing w:after="0"/>
              <w:rPr>
                <w:sz w:val="7"/>
                <w:szCs w:val="7"/>
                <w:color w:val="auto"/>
              </w:rPr>
            </w:pPr>
          </w:p>
        </w:tc>
        <w:tc>
          <w:tcPr>
            <w:tcW w:w="860" w:type="dxa"/>
            <w:vAlign w:val="bottom"/>
            <w:gridSpan w:val="2"/>
            <w:vMerge w:val="continue"/>
          </w:tcPr>
          <w:p>
            <w:pPr>
              <w:spacing w:after="0"/>
              <w:rPr>
                <w:sz w:val="7"/>
                <w:szCs w:val="7"/>
                <w:color w:val="auto"/>
              </w:rPr>
            </w:pPr>
          </w:p>
        </w:tc>
        <w:tc>
          <w:tcPr>
            <w:tcW w:w="440" w:type="dxa"/>
            <w:vAlign w:val="bottom"/>
          </w:tcPr>
          <w:p>
            <w:pPr>
              <w:spacing w:after="0"/>
              <w:rPr>
                <w:sz w:val="7"/>
                <w:szCs w:val="7"/>
                <w:color w:val="auto"/>
              </w:rPr>
            </w:pPr>
          </w:p>
        </w:tc>
        <w:tc>
          <w:tcPr>
            <w:tcW w:w="20" w:type="dxa"/>
            <w:vAlign w:val="bottom"/>
          </w:tcPr>
          <w:p>
            <w:pPr>
              <w:spacing w:after="0"/>
              <w:rPr>
                <w:sz w:val="7"/>
                <w:szCs w:val="7"/>
                <w:color w:val="auto"/>
              </w:rPr>
            </w:pPr>
          </w:p>
        </w:tc>
        <w:tc>
          <w:tcPr>
            <w:tcW w:w="83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34"/>
        </w:trPr>
        <w:tc>
          <w:tcPr>
            <w:tcW w:w="1400" w:type="dxa"/>
            <w:vAlign w:val="bottom"/>
            <w:tcBorders>
              <w:left w:val="single" w:sz="8" w:color="auto"/>
              <w:bottom w:val="single" w:sz="8" w:color="auto"/>
              <w:right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gridSpan w:val="2"/>
          </w:tcPr>
          <w:p>
            <w:pPr>
              <w:spacing w:after="0"/>
              <w:rPr>
                <w:sz w:val="11"/>
                <w:szCs w:val="11"/>
                <w:color w:val="auto"/>
              </w:rPr>
            </w:pPr>
          </w:p>
        </w:tc>
        <w:tc>
          <w:tcPr>
            <w:tcW w:w="8320" w:type="dxa"/>
            <w:vAlign w:val="bottom"/>
            <w:tcBorders>
              <w:bottom w:val="single" w:sz="8" w:color="auto"/>
            </w:tcBorders>
            <w:gridSpan w:val="2"/>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2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3"/>
              </w:rPr>
              <w:t>11</w:t>
            </w:r>
          </w:p>
        </w:tc>
        <w:tc>
          <w:tcPr>
            <w:tcW w:w="972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PERCENT OF CLASS REPRESENTED BY AMOUNT IN ROW (9)</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61"/>
        </w:trPr>
        <w:tc>
          <w:tcPr>
            <w:tcW w:w="1400" w:type="dxa"/>
            <w:vAlign w:val="bottom"/>
            <w:tcBorders>
              <w:left w:val="single" w:sz="8" w:color="auto"/>
              <w:bottom w:val="single" w:sz="8" w:color="auto"/>
              <w:right w:val="single" w:sz="8" w:color="auto"/>
            </w:tcBorders>
            <w:vMerge w:val="continue"/>
          </w:tcPr>
          <w:p>
            <w:pPr>
              <w:spacing w:after="0"/>
              <w:rPr>
                <w:sz w:val="24"/>
                <w:szCs w:val="24"/>
                <w:color w:val="auto"/>
              </w:rPr>
            </w:pPr>
          </w:p>
        </w:tc>
        <w:tc>
          <w:tcPr>
            <w:tcW w:w="86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6.85%</w:t>
            </w:r>
            <w:r>
              <w:rPr>
                <w:rFonts w:ascii="Times New Roman" w:cs="Times New Roman" w:eastAsia="Times New Roman" w:hAnsi="Times New Roman"/>
                <w:sz w:val="29"/>
                <w:szCs w:val="29"/>
                <w:b w:val="1"/>
                <w:bCs w:val="1"/>
                <w:color w:val="auto"/>
                <w:vertAlign w:val="superscript"/>
              </w:rPr>
              <w:t>(1)</w:t>
            </w:r>
          </w:p>
        </w:tc>
        <w:tc>
          <w:tcPr>
            <w:tcW w:w="4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3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12</w:t>
            </w:r>
          </w:p>
        </w:tc>
        <w:tc>
          <w:tcPr>
            <w:tcW w:w="972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TYPE OF REPORTING PERSON (SEE INSTRUCTIONS)</w:t>
            </w:r>
          </w:p>
        </w:tc>
        <w:tc>
          <w:tcPr>
            <w:tcW w:w="1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86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PN</w:t>
            </w: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3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right="140" w:firstLine="8"/>
        <w:spacing w:after="0" w:line="282" w:lineRule="auto"/>
        <w:tabs>
          <w:tab w:leader="none" w:pos="2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Calculated based on 227,610,439 Ordinary Shares outstanding as of November 9, 2023, as reported in the Issuer’s quarterly report on Form 10-Q filed with the Securities and Exchange Commission on November 13,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225425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8"/>
        </w:trPr>
        <w:tc>
          <w:tcPr>
            <w:tcW w:w="1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1(a).</w:t>
            </w:r>
          </w:p>
        </w:tc>
        <w:tc>
          <w:tcPr>
            <w:tcW w:w="1480" w:type="dxa"/>
            <w:vAlign w:val="bottom"/>
            <w:gridSpan w:val="2"/>
          </w:tcPr>
          <w:p>
            <w:pPr>
              <w:ind w:left="260"/>
              <w:spacing w:after="0"/>
              <w:rPr>
                <w:sz w:val="20"/>
                <w:szCs w:val="20"/>
                <w:color w:val="auto"/>
              </w:rPr>
            </w:pPr>
            <w:r>
              <w:rPr>
                <w:rFonts w:ascii="Times New Roman" w:cs="Times New Roman" w:eastAsia="Times New Roman" w:hAnsi="Times New Roman"/>
                <w:sz w:val="18"/>
                <w:szCs w:val="18"/>
                <w:b w:val="1"/>
                <w:bCs w:val="1"/>
                <w:color w:val="auto"/>
              </w:rPr>
              <w:t>Name of Issuer</w:t>
            </w:r>
          </w:p>
        </w:tc>
        <w:tc>
          <w:tcPr>
            <w:tcW w:w="8720" w:type="dxa"/>
            <w:vAlign w:val="bottom"/>
          </w:tcPr>
          <w:p>
            <w:pPr>
              <w:spacing w:after="0"/>
              <w:rPr>
                <w:sz w:val="20"/>
                <w:szCs w:val="20"/>
                <w:color w:val="auto"/>
              </w:rPr>
            </w:pPr>
          </w:p>
        </w:tc>
      </w:tr>
      <w:tr>
        <w:trPr>
          <w:trHeight w:val="432"/>
        </w:trPr>
        <w:tc>
          <w:tcPr>
            <w:tcW w:w="1040" w:type="dxa"/>
            <w:vAlign w:val="bottom"/>
          </w:tcPr>
          <w:p>
            <w:pPr>
              <w:spacing w:after="0"/>
              <w:rPr>
                <w:sz w:val="24"/>
                <w:szCs w:val="24"/>
                <w:color w:val="auto"/>
              </w:rPr>
            </w:pPr>
          </w:p>
        </w:tc>
        <w:tc>
          <w:tcPr>
            <w:tcW w:w="1020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Orchard Therapeutics plc (the “Issuer”)</w:t>
            </w:r>
          </w:p>
        </w:tc>
      </w:tr>
      <w:tr>
        <w:trPr>
          <w:trHeight w:val="432"/>
        </w:trPr>
        <w:tc>
          <w:tcPr>
            <w:tcW w:w="1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1(b).</w:t>
            </w:r>
          </w:p>
        </w:tc>
        <w:tc>
          <w:tcPr>
            <w:tcW w:w="10200" w:type="dxa"/>
            <w:vAlign w:val="bottom"/>
            <w:gridSpan w:val="3"/>
          </w:tcPr>
          <w:p>
            <w:pPr>
              <w:ind w:left="260"/>
              <w:spacing w:after="0"/>
              <w:rPr>
                <w:sz w:val="20"/>
                <w:szCs w:val="20"/>
                <w:color w:val="auto"/>
              </w:rPr>
            </w:pPr>
            <w:r>
              <w:rPr>
                <w:rFonts w:ascii="Times New Roman" w:cs="Times New Roman" w:eastAsia="Times New Roman" w:hAnsi="Times New Roman"/>
                <w:sz w:val="18"/>
                <w:szCs w:val="18"/>
                <w:b w:val="1"/>
                <w:bCs w:val="1"/>
                <w:color w:val="auto"/>
              </w:rPr>
              <w:t>Address of the Issuer’s Principal Executive Offices</w:t>
            </w:r>
          </w:p>
        </w:tc>
      </w:tr>
      <w:tr>
        <w:trPr>
          <w:trHeight w:val="414"/>
        </w:trPr>
        <w:tc>
          <w:tcPr>
            <w:tcW w:w="1040" w:type="dxa"/>
            <w:vAlign w:val="bottom"/>
          </w:tcPr>
          <w:p>
            <w:pPr>
              <w:spacing w:after="0"/>
              <w:rPr>
                <w:sz w:val="24"/>
                <w:szCs w:val="24"/>
                <w:color w:val="auto"/>
              </w:rPr>
            </w:pPr>
          </w:p>
        </w:tc>
        <w:tc>
          <w:tcPr>
            <w:tcW w:w="1020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245 Hammersmith Road, 3rd Floor</w:t>
            </w:r>
          </w:p>
        </w:tc>
      </w:tr>
      <w:tr>
        <w:trPr>
          <w:trHeight w:val="234"/>
        </w:trPr>
        <w:tc>
          <w:tcPr>
            <w:tcW w:w="1040" w:type="dxa"/>
            <w:vAlign w:val="bottom"/>
          </w:tcPr>
          <w:p>
            <w:pPr>
              <w:spacing w:after="0"/>
              <w:rPr>
                <w:sz w:val="20"/>
                <w:szCs w:val="20"/>
                <w:color w:val="auto"/>
              </w:rPr>
            </w:pPr>
          </w:p>
        </w:tc>
        <w:tc>
          <w:tcPr>
            <w:tcW w:w="1020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London, United Kingdom, W6 8PW</w:t>
            </w:r>
          </w:p>
        </w:tc>
      </w:tr>
      <w:tr>
        <w:trPr>
          <w:trHeight w:val="432"/>
        </w:trPr>
        <w:tc>
          <w:tcPr>
            <w:tcW w:w="1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2(a).</w:t>
            </w:r>
          </w:p>
        </w:tc>
        <w:tc>
          <w:tcPr>
            <w:tcW w:w="10200" w:type="dxa"/>
            <w:vAlign w:val="bottom"/>
            <w:gridSpan w:val="3"/>
          </w:tcPr>
          <w:p>
            <w:pPr>
              <w:ind w:left="260"/>
              <w:spacing w:after="0"/>
              <w:rPr>
                <w:sz w:val="20"/>
                <w:szCs w:val="20"/>
                <w:color w:val="auto"/>
              </w:rPr>
            </w:pPr>
            <w:r>
              <w:rPr>
                <w:rFonts w:ascii="Times New Roman" w:cs="Times New Roman" w:eastAsia="Times New Roman" w:hAnsi="Times New Roman"/>
                <w:sz w:val="18"/>
                <w:szCs w:val="18"/>
                <w:b w:val="1"/>
                <w:bCs w:val="1"/>
                <w:color w:val="auto"/>
              </w:rPr>
              <w:t>Names of Persons Filing</w:t>
            </w:r>
          </w:p>
        </w:tc>
      </w:tr>
      <w:tr>
        <w:trPr>
          <w:trHeight w:val="432"/>
        </w:trPr>
        <w:tc>
          <w:tcPr>
            <w:tcW w:w="1040" w:type="dxa"/>
            <w:vAlign w:val="bottom"/>
          </w:tcPr>
          <w:p>
            <w:pPr>
              <w:spacing w:after="0"/>
              <w:rPr>
                <w:sz w:val="24"/>
                <w:szCs w:val="24"/>
                <w:color w:val="auto"/>
              </w:rPr>
            </w:pPr>
          </w:p>
        </w:tc>
        <w:tc>
          <w:tcPr>
            <w:tcW w:w="1020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This statement is filed by Blue Owl Capital Holdings LP, referred to herein as the “Reporting Person.”</w:t>
            </w:r>
          </w:p>
        </w:tc>
      </w:tr>
      <w:tr>
        <w:trPr>
          <w:trHeight w:val="432"/>
        </w:trPr>
        <w:tc>
          <w:tcPr>
            <w:tcW w:w="1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2(b).</w:t>
            </w:r>
          </w:p>
        </w:tc>
        <w:tc>
          <w:tcPr>
            <w:tcW w:w="10200" w:type="dxa"/>
            <w:vAlign w:val="bottom"/>
            <w:gridSpan w:val="3"/>
          </w:tcPr>
          <w:p>
            <w:pPr>
              <w:ind w:left="260"/>
              <w:spacing w:after="0"/>
              <w:rPr>
                <w:sz w:val="20"/>
                <w:szCs w:val="20"/>
                <w:color w:val="auto"/>
              </w:rPr>
            </w:pPr>
            <w:r>
              <w:rPr>
                <w:rFonts w:ascii="Times New Roman" w:cs="Times New Roman" w:eastAsia="Times New Roman" w:hAnsi="Times New Roman"/>
                <w:sz w:val="18"/>
                <w:szCs w:val="18"/>
                <w:b w:val="1"/>
                <w:bCs w:val="1"/>
                <w:color w:val="auto"/>
              </w:rPr>
              <w:t>Address of the Principal Business Office, or if none, Residence</w:t>
            </w:r>
          </w:p>
        </w:tc>
      </w:tr>
      <w:tr>
        <w:trPr>
          <w:trHeight w:val="414"/>
        </w:trPr>
        <w:tc>
          <w:tcPr>
            <w:tcW w:w="1040" w:type="dxa"/>
            <w:vAlign w:val="bottom"/>
          </w:tcPr>
          <w:p>
            <w:pPr>
              <w:spacing w:after="0"/>
              <w:rPr>
                <w:sz w:val="24"/>
                <w:szCs w:val="24"/>
                <w:color w:val="auto"/>
              </w:rPr>
            </w:pPr>
          </w:p>
        </w:tc>
        <w:tc>
          <w:tcPr>
            <w:tcW w:w="1020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399 Park Avenue</w:t>
            </w:r>
          </w:p>
        </w:tc>
      </w:tr>
      <w:tr>
        <w:trPr>
          <w:trHeight w:val="234"/>
        </w:trPr>
        <w:tc>
          <w:tcPr>
            <w:tcW w:w="1040" w:type="dxa"/>
            <w:vAlign w:val="bottom"/>
          </w:tcPr>
          <w:p>
            <w:pPr>
              <w:spacing w:after="0"/>
              <w:rPr>
                <w:sz w:val="20"/>
                <w:szCs w:val="20"/>
                <w:color w:val="auto"/>
              </w:rPr>
            </w:pPr>
          </w:p>
        </w:tc>
        <w:tc>
          <w:tcPr>
            <w:tcW w:w="1020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New York, NY 10022</w:t>
            </w:r>
          </w:p>
        </w:tc>
      </w:tr>
      <w:tr>
        <w:trPr>
          <w:trHeight w:val="432"/>
        </w:trPr>
        <w:tc>
          <w:tcPr>
            <w:tcW w:w="1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2(c).</w:t>
            </w:r>
          </w:p>
        </w:tc>
        <w:tc>
          <w:tcPr>
            <w:tcW w:w="1480" w:type="dxa"/>
            <w:vAlign w:val="bottom"/>
            <w:gridSpan w:val="2"/>
          </w:tcPr>
          <w:p>
            <w:pPr>
              <w:ind w:left="260"/>
              <w:spacing w:after="0"/>
              <w:rPr>
                <w:sz w:val="20"/>
                <w:szCs w:val="20"/>
                <w:color w:val="auto"/>
              </w:rPr>
            </w:pPr>
            <w:r>
              <w:rPr>
                <w:rFonts w:ascii="Times New Roman" w:cs="Times New Roman" w:eastAsia="Times New Roman" w:hAnsi="Times New Roman"/>
                <w:sz w:val="18"/>
                <w:szCs w:val="18"/>
                <w:b w:val="1"/>
                <w:bCs w:val="1"/>
                <w:color w:val="auto"/>
              </w:rPr>
              <w:t>Citizenship</w:t>
            </w:r>
          </w:p>
        </w:tc>
        <w:tc>
          <w:tcPr>
            <w:tcW w:w="8720" w:type="dxa"/>
            <w:vAlign w:val="bottom"/>
          </w:tcPr>
          <w:p>
            <w:pPr>
              <w:spacing w:after="0"/>
              <w:rPr>
                <w:sz w:val="24"/>
                <w:szCs w:val="24"/>
                <w:color w:val="auto"/>
              </w:rPr>
            </w:pPr>
          </w:p>
        </w:tc>
      </w:tr>
      <w:tr>
        <w:trPr>
          <w:trHeight w:val="432"/>
        </w:trPr>
        <w:tc>
          <w:tcPr>
            <w:tcW w:w="1040" w:type="dxa"/>
            <w:vAlign w:val="bottom"/>
          </w:tcPr>
          <w:p>
            <w:pPr>
              <w:spacing w:after="0"/>
              <w:rPr>
                <w:sz w:val="24"/>
                <w:szCs w:val="24"/>
                <w:color w:val="auto"/>
              </w:rPr>
            </w:pPr>
          </w:p>
        </w:tc>
        <w:tc>
          <w:tcPr>
            <w:tcW w:w="1020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See response to Item 4 on the cover page.</w:t>
            </w:r>
          </w:p>
        </w:tc>
      </w:tr>
      <w:tr>
        <w:trPr>
          <w:trHeight w:val="432"/>
        </w:trPr>
        <w:tc>
          <w:tcPr>
            <w:tcW w:w="1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2(d).</w:t>
            </w:r>
          </w:p>
        </w:tc>
        <w:tc>
          <w:tcPr>
            <w:tcW w:w="10200" w:type="dxa"/>
            <w:vAlign w:val="bottom"/>
            <w:gridSpan w:val="3"/>
          </w:tcPr>
          <w:p>
            <w:pPr>
              <w:ind w:left="260"/>
              <w:spacing w:after="0"/>
              <w:rPr>
                <w:sz w:val="20"/>
                <w:szCs w:val="20"/>
                <w:color w:val="auto"/>
              </w:rPr>
            </w:pPr>
            <w:r>
              <w:rPr>
                <w:rFonts w:ascii="Times New Roman" w:cs="Times New Roman" w:eastAsia="Times New Roman" w:hAnsi="Times New Roman"/>
                <w:sz w:val="18"/>
                <w:szCs w:val="18"/>
                <w:b w:val="1"/>
                <w:bCs w:val="1"/>
                <w:color w:val="auto"/>
              </w:rPr>
              <w:t>Title of Class of Securities</w:t>
            </w:r>
          </w:p>
        </w:tc>
      </w:tr>
      <w:tr>
        <w:trPr>
          <w:trHeight w:val="432"/>
        </w:trPr>
        <w:tc>
          <w:tcPr>
            <w:tcW w:w="1040" w:type="dxa"/>
            <w:vAlign w:val="bottom"/>
          </w:tcPr>
          <w:p>
            <w:pPr>
              <w:spacing w:after="0"/>
              <w:rPr>
                <w:sz w:val="24"/>
                <w:szCs w:val="24"/>
                <w:color w:val="auto"/>
              </w:rPr>
            </w:pPr>
          </w:p>
        </w:tc>
        <w:tc>
          <w:tcPr>
            <w:tcW w:w="1020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Ordinary Shares, nominal value £0.10 per share</w:t>
            </w:r>
          </w:p>
        </w:tc>
      </w:tr>
      <w:tr>
        <w:trPr>
          <w:trHeight w:val="432"/>
        </w:trPr>
        <w:tc>
          <w:tcPr>
            <w:tcW w:w="1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2(e).</w:t>
            </w:r>
          </w:p>
        </w:tc>
        <w:tc>
          <w:tcPr>
            <w:tcW w:w="1480" w:type="dxa"/>
            <w:vAlign w:val="bottom"/>
            <w:gridSpan w:val="2"/>
          </w:tcPr>
          <w:p>
            <w:pPr>
              <w:ind w:left="260"/>
              <w:spacing w:after="0"/>
              <w:rPr>
                <w:sz w:val="20"/>
                <w:szCs w:val="20"/>
                <w:color w:val="auto"/>
              </w:rPr>
            </w:pPr>
            <w:r>
              <w:rPr>
                <w:rFonts w:ascii="Times New Roman" w:cs="Times New Roman" w:eastAsia="Times New Roman" w:hAnsi="Times New Roman"/>
                <w:sz w:val="18"/>
                <w:szCs w:val="18"/>
                <w:b w:val="1"/>
                <w:bCs w:val="1"/>
                <w:color w:val="auto"/>
                <w:w w:val="97"/>
              </w:rPr>
              <w:t>CUSIP Number</w:t>
            </w:r>
          </w:p>
        </w:tc>
        <w:tc>
          <w:tcPr>
            <w:tcW w:w="8720" w:type="dxa"/>
            <w:vAlign w:val="bottom"/>
          </w:tcPr>
          <w:p>
            <w:pPr>
              <w:spacing w:after="0"/>
              <w:rPr>
                <w:sz w:val="24"/>
                <w:szCs w:val="24"/>
                <w:color w:val="auto"/>
              </w:rPr>
            </w:pPr>
          </w:p>
        </w:tc>
      </w:tr>
      <w:tr>
        <w:trPr>
          <w:trHeight w:val="432"/>
        </w:trPr>
        <w:tc>
          <w:tcPr>
            <w:tcW w:w="1040" w:type="dxa"/>
            <w:vAlign w:val="bottom"/>
          </w:tcPr>
          <w:p>
            <w:pPr>
              <w:spacing w:after="0"/>
              <w:rPr>
                <w:sz w:val="24"/>
                <w:szCs w:val="24"/>
                <w:color w:val="auto"/>
              </w:rPr>
            </w:pPr>
          </w:p>
        </w:tc>
        <w:tc>
          <w:tcPr>
            <w:tcW w:w="14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68570P200</w:t>
            </w:r>
          </w:p>
        </w:tc>
        <w:tc>
          <w:tcPr>
            <w:tcW w:w="8720" w:type="dxa"/>
            <w:vAlign w:val="bottom"/>
          </w:tcPr>
          <w:p>
            <w:pPr>
              <w:spacing w:after="0"/>
              <w:rPr>
                <w:sz w:val="24"/>
                <w:szCs w:val="24"/>
                <w:color w:val="auto"/>
              </w:rPr>
            </w:pPr>
          </w:p>
        </w:tc>
      </w:tr>
      <w:tr>
        <w:trPr>
          <w:trHeight w:val="432"/>
        </w:trPr>
        <w:tc>
          <w:tcPr>
            <w:tcW w:w="1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3.</w:t>
            </w:r>
          </w:p>
        </w:tc>
        <w:tc>
          <w:tcPr>
            <w:tcW w:w="10200" w:type="dxa"/>
            <w:vAlign w:val="bottom"/>
            <w:gridSpan w:val="3"/>
          </w:tcPr>
          <w:p>
            <w:pPr>
              <w:ind w:left="260"/>
              <w:spacing w:after="0"/>
              <w:rPr>
                <w:sz w:val="20"/>
                <w:szCs w:val="20"/>
                <w:color w:val="auto"/>
              </w:rPr>
            </w:pPr>
            <w:r>
              <w:rPr>
                <w:rFonts w:ascii="Times New Roman" w:cs="Times New Roman" w:eastAsia="Times New Roman" w:hAnsi="Times New Roman"/>
                <w:sz w:val="18"/>
                <w:szCs w:val="18"/>
                <w:b w:val="1"/>
                <w:bCs w:val="1"/>
                <w:color w:val="auto"/>
              </w:rPr>
              <w:t>If this statement is filed pursuant to Rules 13d-1(b), or 13d-2(b) or (c), check whether the person filing is a(n):</w:t>
            </w:r>
          </w:p>
        </w:tc>
      </w:tr>
      <w:tr>
        <w:trPr>
          <w:trHeight w:val="460"/>
        </w:trPr>
        <w:tc>
          <w:tcPr>
            <w:tcW w:w="1040" w:type="dxa"/>
            <w:vAlign w:val="bottom"/>
          </w:tcPr>
          <w:p>
            <w:pPr>
              <w:spacing w:after="0"/>
              <w:rPr>
                <w:sz w:val="24"/>
                <w:szCs w:val="24"/>
                <w:color w:val="auto"/>
              </w:rPr>
            </w:pPr>
          </w:p>
        </w:tc>
        <w:tc>
          <w:tcPr>
            <w:tcW w:w="10200" w:type="dxa"/>
            <w:vAlign w:val="bottom"/>
            <w:gridSpan w:val="3"/>
          </w:tcPr>
          <w:p>
            <w:pPr>
              <w:ind w:left="260"/>
              <w:spacing w:after="0" w:line="207" w:lineRule="exact"/>
              <w:rPr>
                <w:sz w:val="20"/>
                <w:szCs w:val="20"/>
                <w:color w:val="auto"/>
              </w:rPr>
            </w:pPr>
            <w:r>
              <w:rPr>
                <w:rFonts w:ascii="Times New Roman" w:cs="Times New Roman" w:eastAsia="Times New Roman" w:hAnsi="Times New Roman"/>
                <w:sz w:val="18"/>
                <w:szCs w:val="18"/>
                <w:color w:val="auto"/>
              </w:rPr>
              <w:t xml:space="preserve">(e)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An investment adviser in accordance with §240.13d-1(b)(1)(ii)(E)</w:t>
            </w:r>
          </w:p>
        </w:tc>
      </w:tr>
      <w:tr>
        <w:trPr>
          <w:trHeight w:val="404"/>
        </w:trPr>
        <w:tc>
          <w:tcPr>
            <w:tcW w:w="1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4.</w:t>
            </w:r>
          </w:p>
        </w:tc>
        <w:tc>
          <w:tcPr>
            <w:tcW w:w="1480" w:type="dxa"/>
            <w:vAlign w:val="bottom"/>
            <w:gridSpan w:val="2"/>
          </w:tcPr>
          <w:p>
            <w:pPr>
              <w:ind w:left="260"/>
              <w:spacing w:after="0"/>
              <w:rPr>
                <w:sz w:val="20"/>
                <w:szCs w:val="20"/>
                <w:color w:val="auto"/>
              </w:rPr>
            </w:pPr>
            <w:r>
              <w:rPr>
                <w:rFonts w:ascii="Times New Roman" w:cs="Times New Roman" w:eastAsia="Times New Roman" w:hAnsi="Times New Roman"/>
                <w:sz w:val="18"/>
                <w:szCs w:val="18"/>
                <w:b w:val="1"/>
                <w:bCs w:val="1"/>
                <w:color w:val="auto"/>
              </w:rPr>
              <w:t>Ownership</w:t>
            </w:r>
          </w:p>
        </w:tc>
        <w:tc>
          <w:tcPr>
            <w:tcW w:w="8720" w:type="dxa"/>
            <w:vAlign w:val="bottom"/>
          </w:tcPr>
          <w:p>
            <w:pPr>
              <w:spacing w:after="0"/>
              <w:rPr>
                <w:sz w:val="24"/>
                <w:szCs w:val="24"/>
                <w:color w:val="auto"/>
              </w:rPr>
            </w:pPr>
          </w:p>
        </w:tc>
      </w:tr>
      <w:tr>
        <w:trPr>
          <w:trHeight w:val="414"/>
        </w:trPr>
        <w:tc>
          <w:tcPr>
            <w:tcW w:w="1040" w:type="dxa"/>
            <w:vAlign w:val="bottom"/>
          </w:tcPr>
          <w:p>
            <w:pPr>
              <w:spacing w:after="0"/>
              <w:rPr>
                <w:sz w:val="24"/>
                <w:szCs w:val="24"/>
                <w:color w:val="auto"/>
              </w:rPr>
            </w:pPr>
          </w:p>
        </w:tc>
        <w:tc>
          <w:tcPr>
            <w:tcW w:w="700" w:type="dxa"/>
            <w:vAlign w:val="bottom"/>
          </w:tcPr>
          <w:p>
            <w:pPr>
              <w:ind w:left="260"/>
              <w:spacing w:after="0"/>
              <w:rPr>
                <w:sz w:val="20"/>
                <w:szCs w:val="20"/>
                <w:color w:val="auto"/>
              </w:rPr>
            </w:pPr>
            <w:r>
              <w:rPr>
                <w:rFonts w:ascii="Times New Roman" w:cs="Times New Roman" w:eastAsia="Times New Roman" w:hAnsi="Times New Roman"/>
                <w:sz w:val="18"/>
                <w:szCs w:val="18"/>
                <w:b w:val="1"/>
                <w:bCs w:val="1"/>
                <w:color w:val="auto"/>
              </w:rPr>
              <w:t>(a)</w:t>
            </w:r>
          </w:p>
        </w:tc>
        <w:tc>
          <w:tcPr>
            <w:tcW w:w="950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Amount beneficially owned:</w:t>
            </w:r>
          </w:p>
        </w:tc>
      </w:tr>
      <w:tr>
        <w:trPr>
          <w:trHeight w:val="234"/>
        </w:trPr>
        <w:tc>
          <w:tcPr>
            <w:tcW w:w="10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95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See response to Item 9 on the cover page.</w:t>
            </w:r>
          </w:p>
        </w:tc>
      </w:tr>
      <w:tr>
        <w:trPr>
          <w:trHeight w:val="414"/>
        </w:trPr>
        <w:tc>
          <w:tcPr>
            <w:tcW w:w="1040" w:type="dxa"/>
            <w:vAlign w:val="bottom"/>
          </w:tcPr>
          <w:p>
            <w:pPr>
              <w:spacing w:after="0"/>
              <w:rPr>
                <w:sz w:val="24"/>
                <w:szCs w:val="24"/>
                <w:color w:val="auto"/>
              </w:rPr>
            </w:pPr>
          </w:p>
        </w:tc>
        <w:tc>
          <w:tcPr>
            <w:tcW w:w="700" w:type="dxa"/>
            <w:vAlign w:val="bottom"/>
          </w:tcPr>
          <w:p>
            <w:pPr>
              <w:ind w:left="260"/>
              <w:spacing w:after="0"/>
              <w:rPr>
                <w:sz w:val="20"/>
                <w:szCs w:val="20"/>
                <w:color w:val="auto"/>
              </w:rPr>
            </w:pPr>
            <w:r>
              <w:rPr>
                <w:rFonts w:ascii="Times New Roman" w:cs="Times New Roman" w:eastAsia="Times New Roman" w:hAnsi="Times New Roman"/>
                <w:sz w:val="18"/>
                <w:szCs w:val="18"/>
                <w:b w:val="1"/>
                <w:bCs w:val="1"/>
                <w:color w:val="auto"/>
              </w:rPr>
              <w:t>(b)</w:t>
            </w:r>
          </w:p>
        </w:tc>
        <w:tc>
          <w:tcPr>
            <w:tcW w:w="950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Percent of Class:</w:t>
            </w:r>
          </w:p>
        </w:tc>
      </w:tr>
      <w:tr>
        <w:trPr>
          <w:trHeight w:val="234"/>
        </w:trPr>
        <w:tc>
          <w:tcPr>
            <w:tcW w:w="10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95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See response to Item 11 on the cover page.</w:t>
            </w:r>
          </w:p>
        </w:tc>
      </w:tr>
      <w:tr>
        <w:trPr>
          <w:trHeight w:val="432"/>
        </w:trPr>
        <w:tc>
          <w:tcPr>
            <w:tcW w:w="1040" w:type="dxa"/>
            <w:vAlign w:val="bottom"/>
          </w:tcPr>
          <w:p>
            <w:pPr>
              <w:spacing w:after="0"/>
              <w:rPr>
                <w:sz w:val="24"/>
                <w:szCs w:val="24"/>
                <w:color w:val="auto"/>
              </w:rPr>
            </w:pPr>
          </w:p>
        </w:tc>
        <w:tc>
          <w:tcPr>
            <w:tcW w:w="700" w:type="dxa"/>
            <w:vAlign w:val="bottom"/>
          </w:tcPr>
          <w:p>
            <w:pPr>
              <w:ind w:left="260"/>
              <w:spacing w:after="0"/>
              <w:rPr>
                <w:sz w:val="20"/>
                <w:szCs w:val="20"/>
                <w:color w:val="auto"/>
              </w:rPr>
            </w:pPr>
            <w:r>
              <w:rPr>
                <w:rFonts w:ascii="Times New Roman" w:cs="Times New Roman" w:eastAsia="Times New Roman" w:hAnsi="Times New Roman"/>
                <w:sz w:val="18"/>
                <w:szCs w:val="18"/>
                <w:b w:val="1"/>
                <w:bCs w:val="1"/>
                <w:color w:val="auto"/>
              </w:rPr>
              <w:t>(c)</w:t>
            </w:r>
          </w:p>
        </w:tc>
        <w:tc>
          <w:tcPr>
            <w:tcW w:w="950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Number of shares as to which the Reporting Person has:</w:t>
            </w:r>
          </w:p>
        </w:tc>
      </w:tr>
      <w:tr>
        <w:trPr>
          <w:trHeight w:val="414"/>
        </w:trPr>
        <w:tc>
          <w:tcPr>
            <w:tcW w:w="10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8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(i)</w:t>
            </w:r>
          </w:p>
        </w:tc>
        <w:tc>
          <w:tcPr>
            <w:tcW w:w="872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Sole power to vote or to direct the vote:</w:t>
            </w:r>
          </w:p>
        </w:tc>
      </w:tr>
      <w:tr>
        <w:trPr>
          <w:trHeight w:val="234"/>
        </w:trPr>
        <w:tc>
          <w:tcPr>
            <w:tcW w:w="10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720" w:type="dxa"/>
            <w:vAlign w:val="bottom"/>
          </w:tcPr>
          <w:p>
            <w:pPr>
              <w:spacing w:after="0"/>
              <w:rPr>
                <w:sz w:val="20"/>
                <w:szCs w:val="20"/>
                <w:color w:val="auto"/>
              </w:rPr>
            </w:pPr>
            <w:r>
              <w:rPr>
                <w:rFonts w:ascii="Times New Roman" w:cs="Times New Roman" w:eastAsia="Times New Roman" w:hAnsi="Times New Roman"/>
                <w:sz w:val="18"/>
                <w:szCs w:val="18"/>
                <w:color w:val="auto"/>
              </w:rPr>
              <w:t>See response to Item 5 on the cover page.</w:t>
            </w:r>
          </w:p>
        </w:tc>
      </w:tr>
      <w:tr>
        <w:trPr>
          <w:trHeight w:val="414"/>
        </w:trPr>
        <w:tc>
          <w:tcPr>
            <w:tcW w:w="10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8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(ii)</w:t>
            </w:r>
          </w:p>
        </w:tc>
        <w:tc>
          <w:tcPr>
            <w:tcW w:w="872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Shared power to vote or to direct the vote:</w:t>
            </w:r>
          </w:p>
        </w:tc>
      </w:tr>
      <w:tr>
        <w:trPr>
          <w:trHeight w:val="234"/>
        </w:trPr>
        <w:tc>
          <w:tcPr>
            <w:tcW w:w="10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720" w:type="dxa"/>
            <w:vAlign w:val="bottom"/>
          </w:tcPr>
          <w:p>
            <w:pPr>
              <w:spacing w:after="0"/>
              <w:rPr>
                <w:sz w:val="20"/>
                <w:szCs w:val="20"/>
                <w:color w:val="auto"/>
              </w:rPr>
            </w:pPr>
            <w:r>
              <w:rPr>
                <w:rFonts w:ascii="Times New Roman" w:cs="Times New Roman" w:eastAsia="Times New Roman" w:hAnsi="Times New Roman"/>
                <w:sz w:val="18"/>
                <w:szCs w:val="18"/>
                <w:color w:val="auto"/>
              </w:rPr>
              <w:t>See response to Item 6 on the cover page.</w:t>
            </w:r>
          </w:p>
        </w:tc>
      </w:tr>
      <w:tr>
        <w:trPr>
          <w:trHeight w:val="414"/>
        </w:trPr>
        <w:tc>
          <w:tcPr>
            <w:tcW w:w="10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8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(iii)</w:t>
            </w:r>
          </w:p>
        </w:tc>
        <w:tc>
          <w:tcPr>
            <w:tcW w:w="872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Sole power to dispose or to direct the disposition of:</w:t>
            </w:r>
          </w:p>
        </w:tc>
      </w:tr>
      <w:tr>
        <w:trPr>
          <w:trHeight w:val="234"/>
        </w:trPr>
        <w:tc>
          <w:tcPr>
            <w:tcW w:w="10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720" w:type="dxa"/>
            <w:vAlign w:val="bottom"/>
          </w:tcPr>
          <w:p>
            <w:pPr>
              <w:spacing w:after="0"/>
              <w:rPr>
                <w:sz w:val="20"/>
                <w:szCs w:val="20"/>
                <w:color w:val="auto"/>
              </w:rPr>
            </w:pPr>
            <w:r>
              <w:rPr>
                <w:rFonts w:ascii="Times New Roman" w:cs="Times New Roman" w:eastAsia="Times New Roman" w:hAnsi="Times New Roman"/>
                <w:sz w:val="18"/>
                <w:szCs w:val="18"/>
                <w:color w:val="auto"/>
              </w:rPr>
              <w:t>See response to Item 7 on the cover page.</w:t>
            </w:r>
          </w:p>
        </w:tc>
      </w:tr>
      <w:tr>
        <w:trPr>
          <w:trHeight w:val="414"/>
        </w:trPr>
        <w:tc>
          <w:tcPr>
            <w:tcW w:w="10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8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(iv)</w:t>
            </w:r>
          </w:p>
        </w:tc>
        <w:tc>
          <w:tcPr>
            <w:tcW w:w="872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Shared power to dispose or to direct the disposition of:</w:t>
            </w:r>
          </w:p>
        </w:tc>
      </w:tr>
      <w:tr>
        <w:trPr>
          <w:trHeight w:val="234"/>
        </w:trPr>
        <w:tc>
          <w:tcPr>
            <w:tcW w:w="10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720" w:type="dxa"/>
            <w:vAlign w:val="bottom"/>
          </w:tcPr>
          <w:p>
            <w:pPr>
              <w:spacing w:after="0"/>
              <w:rPr>
                <w:sz w:val="20"/>
                <w:szCs w:val="20"/>
                <w:color w:val="auto"/>
              </w:rPr>
            </w:pPr>
            <w:r>
              <w:rPr>
                <w:rFonts w:ascii="Times New Roman" w:cs="Times New Roman" w:eastAsia="Times New Roman" w:hAnsi="Times New Roman"/>
                <w:sz w:val="18"/>
                <w:szCs w:val="18"/>
                <w:color w:val="auto"/>
              </w:rPr>
              <w:t>See response to Item 8 on the cover page.</w:t>
            </w:r>
          </w:p>
        </w:tc>
      </w:tr>
      <w:tr>
        <w:trPr>
          <w:trHeight w:val="399"/>
        </w:trPr>
        <w:tc>
          <w:tcPr>
            <w:tcW w:w="10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87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17" w:right="339" w:bottom="1440" w:gutter="0" w:footer="0" w:header="0"/>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80" w:type="dxa"/>
            <w:vAlign w:val="bottom"/>
          </w:tcPr>
          <w:p>
            <w:pPr>
              <w:spacing w:after="0"/>
              <w:rPr>
                <w:sz w:val="18"/>
                <w:szCs w:val="18"/>
                <w:color w:val="auto"/>
              </w:rPr>
            </w:pPr>
          </w:p>
        </w:tc>
        <w:tc>
          <w:tcPr>
            <w:tcW w:w="102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The filing of this Statement shall not be construed as an admission that the Reporting Person is, for the purpose of Section 13(d) or 13(g)</w:t>
            </w:r>
          </w:p>
        </w:tc>
      </w:tr>
      <w:tr>
        <w:trPr>
          <w:trHeight w:val="234"/>
        </w:trPr>
        <w:tc>
          <w:tcPr>
            <w:tcW w:w="980" w:type="dxa"/>
            <w:vAlign w:val="bottom"/>
          </w:tcPr>
          <w:p>
            <w:pPr>
              <w:spacing w:after="0"/>
              <w:rPr>
                <w:sz w:val="20"/>
                <w:szCs w:val="20"/>
                <w:color w:val="auto"/>
              </w:rPr>
            </w:pPr>
          </w:p>
        </w:tc>
        <w:tc>
          <w:tcPr>
            <w:tcW w:w="102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of the Exchange Act, the beneficial owner of any securities covered by this Statement.</w:t>
            </w:r>
          </w:p>
        </w:tc>
      </w:tr>
      <w:tr>
        <w:trPr>
          <w:trHeight w:val="432"/>
        </w:trPr>
        <w:tc>
          <w:tcPr>
            <w:tcW w:w="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5.</w:t>
            </w:r>
          </w:p>
        </w:tc>
        <w:tc>
          <w:tcPr>
            <w:tcW w:w="10260" w:type="dxa"/>
            <w:vAlign w:val="bottom"/>
          </w:tcPr>
          <w:p>
            <w:pPr>
              <w:ind w:left="320"/>
              <w:spacing w:after="0"/>
              <w:rPr>
                <w:sz w:val="20"/>
                <w:szCs w:val="20"/>
                <w:color w:val="auto"/>
              </w:rPr>
            </w:pPr>
            <w:r>
              <w:rPr>
                <w:rFonts w:ascii="Times New Roman" w:cs="Times New Roman" w:eastAsia="Times New Roman" w:hAnsi="Times New Roman"/>
                <w:sz w:val="18"/>
                <w:szCs w:val="18"/>
                <w:b w:val="1"/>
                <w:bCs w:val="1"/>
                <w:color w:val="auto"/>
              </w:rPr>
              <w:t>Ownership of Five Percent or Less of a Class</w:t>
            </w:r>
          </w:p>
        </w:tc>
      </w:tr>
      <w:tr>
        <w:trPr>
          <w:trHeight w:val="432"/>
        </w:trPr>
        <w:tc>
          <w:tcPr>
            <w:tcW w:w="980" w:type="dxa"/>
            <w:vAlign w:val="bottom"/>
          </w:tcPr>
          <w:p>
            <w:pPr>
              <w:spacing w:after="0"/>
              <w:rPr>
                <w:sz w:val="24"/>
                <w:szCs w:val="24"/>
                <w:color w:val="auto"/>
              </w:rPr>
            </w:pPr>
          </w:p>
        </w:tc>
        <w:tc>
          <w:tcPr>
            <w:tcW w:w="102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Not Applicable.</w:t>
            </w:r>
          </w:p>
        </w:tc>
      </w:tr>
      <w:tr>
        <w:trPr>
          <w:trHeight w:val="432"/>
        </w:trPr>
        <w:tc>
          <w:tcPr>
            <w:tcW w:w="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6.</w:t>
            </w:r>
          </w:p>
        </w:tc>
        <w:tc>
          <w:tcPr>
            <w:tcW w:w="10260" w:type="dxa"/>
            <w:vAlign w:val="bottom"/>
          </w:tcPr>
          <w:p>
            <w:pPr>
              <w:ind w:left="320"/>
              <w:spacing w:after="0"/>
              <w:rPr>
                <w:sz w:val="20"/>
                <w:szCs w:val="20"/>
                <w:color w:val="auto"/>
              </w:rPr>
            </w:pPr>
            <w:r>
              <w:rPr>
                <w:rFonts w:ascii="Times New Roman" w:cs="Times New Roman" w:eastAsia="Times New Roman" w:hAnsi="Times New Roman"/>
                <w:sz w:val="18"/>
                <w:szCs w:val="18"/>
                <w:b w:val="1"/>
                <w:bCs w:val="1"/>
                <w:color w:val="auto"/>
              </w:rPr>
              <w:t>Ownership of More than Five Percent on Behalf of Another Person</w:t>
            </w:r>
          </w:p>
        </w:tc>
      </w:tr>
      <w:tr>
        <w:trPr>
          <w:trHeight w:val="432"/>
        </w:trPr>
        <w:tc>
          <w:tcPr>
            <w:tcW w:w="980" w:type="dxa"/>
            <w:vAlign w:val="bottom"/>
          </w:tcPr>
          <w:p>
            <w:pPr>
              <w:spacing w:after="0"/>
              <w:rPr>
                <w:sz w:val="24"/>
                <w:szCs w:val="24"/>
                <w:color w:val="auto"/>
              </w:rPr>
            </w:pPr>
          </w:p>
        </w:tc>
        <w:tc>
          <w:tcPr>
            <w:tcW w:w="102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Not Applicable.</w:t>
            </w:r>
          </w:p>
        </w:tc>
      </w:tr>
      <w:tr>
        <w:trPr>
          <w:trHeight w:val="410"/>
        </w:trPr>
        <w:tc>
          <w:tcPr>
            <w:tcW w:w="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7</w:t>
            </w:r>
          </w:p>
        </w:tc>
        <w:tc>
          <w:tcPr>
            <w:tcW w:w="10260" w:type="dxa"/>
            <w:vAlign w:val="bottom"/>
          </w:tcPr>
          <w:p>
            <w:pPr>
              <w:ind w:left="320"/>
              <w:spacing w:after="0"/>
              <w:rPr>
                <w:sz w:val="20"/>
                <w:szCs w:val="20"/>
                <w:color w:val="auto"/>
              </w:rPr>
            </w:pPr>
            <w:r>
              <w:rPr>
                <w:rFonts w:ascii="Times New Roman" w:cs="Times New Roman" w:eastAsia="Times New Roman" w:hAnsi="Times New Roman"/>
                <w:sz w:val="18"/>
                <w:szCs w:val="18"/>
                <w:b w:val="1"/>
                <w:bCs w:val="1"/>
                <w:color w:val="auto"/>
              </w:rPr>
              <w:t>Identification and Classification of the Subsidiary Which Acquired the Security Being Reported on by the Parent Holding</w:t>
            </w:r>
          </w:p>
        </w:tc>
      </w:tr>
      <w:tr>
        <w:trPr>
          <w:trHeight w:val="238"/>
        </w:trPr>
        <w:tc>
          <w:tcPr>
            <w:tcW w:w="980" w:type="dxa"/>
            <w:vAlign w:val="bottom"/>
          </w:tcPr>
          <w:p>
            <w:pPr>
              <w:spacing w:after="0"/>
              <w:rPr>
                <w:sz w:val="20"/>
                <w:szCs w:val="20"/>
                <w:color w:val="auto"/>
              </w:rPr>
            </w:pPr>
          </w:p>
        </w:tc>
        <w:tc>
          <w:tcPr>
            <w:tcW w:w="10260" w:type="dxa"/>
            <w:vAlign w:val="bottom"/>
          </w:tcPr>
          <w:p>
            <w:pPr>
              <w:ind w:left="320"/>
              <w:spacing w:after="0"/>
              <w:rPr>
                <w:sz w:val="20"/>
                <w:szCs w:val="20"/>
                <w:color w:val="auto"/>
              </w:rPr>
            </w:pPr>
            <w:r>
              <w:rPr>
                <w:rFonts w:ascii="Times New Roman" w:cs="Times New Roman" w:eastAsia="Times New Roman" w:hAnsi="Times New Roman"/>
                <w:sz w:val="18"/>
                <w:szCs w:val="18"/>
                <w:b w:val="1"/>
                <w:bCs w:val="1"/>
                <w:color w:val="auto"/>
              </w:rPr>
              <w:t>Company</w:t>
            </w:r>
          </w:p>
        </w:tc>
      </w:tr>
      <w:tr>
        <w:trPr>
          <w:trHeight w:val="432"/>
        </w:trPr>
        <w:tc>
          <w:tcPr>
            <w:tcW w:w="980" w:type="dxa"/>
            <w:vAlign w:val="bottom"/>
          </w:tcPr>
          <w:p>
            <w:pPr>
              <w:spacing w:after="0"/>
              <w:rPr>
                <w:sz w:val="24"/>
                <w:szCs w:val="24"/>
                <w:color w:val="auto"/>
              </w:rPr>
            </w:pPr>
          </w:p>
        </w:tc>
        <w:tc>
          <w:tcPr>
            <w:tcW w:w="102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Not Applicable.</w:t>
            </w:r>
          </w:p>
        </w:tc>
      </w:tr>
      <w:tr>
        <w:trPr>
          <w:trHeight w:val="432"/>
        </w:trPr>
        <w:tc>
          <w:tcPr>
            <w:tcW w:w="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8.</w:t>
            </w:r>
          </w:p>
        </w:tc>
        <w:tc>
          <w:tcPr>
            <w:tcW w:w="10260" w:type="dxa"/>
            <w:vAlign w:val="bottom"/>
          </w:tcPr>
          <w:p>
            <w:pPr>
              <w:ind w:left="320"/>
              <w:spacing w:after="0"/>
              <w:rPr>
                <w:sz w:val="20"/>
                <w:szCs w:val="20"/>
                <w:color w:val="auto"/>
              </w:rPr>
            </w:pPr>
            <w:r>
              <w:rPr>
                <w:rFonts w:ascii="Times New Roman" w:cs="Times New Roman" w:eastAsia="Times New Roman" w:hAnsi="Times New Roman"/>
                <w:sz w:val="18"/>
                <w:szCs w:val="18"/>
                <w:b w:val="1"/>
                <w:bCs w:val="1"/>
                <w:color w:val="auto"/>
              </w:rPr>
              <w:t>Identification and Classification of Members of the Group</w:t>
            </w:r>
          </w:p>
        </w:tc>
      </w:tr>
      <w:tr>
        <w:trPr>
          <w:trHeight w:val="432"/>
        </w:trPr>
        <w:tc>
          <w:tcPr>
            <w:tcW w:w="980" w:type="dxa"/>
            <w:vAlign w:val="bottom"/>
          </w:tcPr>
          <w:p>
            <w:pPr>
              <w:spacing w:after="0"/>
              <w:rPr>
                <w:sz w:val="24"/>
                <w:szCs w:val="24"/>
                <w:color w:val="auto"/>
              </w:rPr>
            </w:pPr>
          </w:p>
        </w:tc>
        <w:tc>
          <w:tcPr>
            <w:tcW w:w="102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Not Applicable.</w:t>
            </w:r>
          </w:p>
        </w:tc>
      </w:tr>
      <w:tr>
        <w:trPr>
          <w:trHeight w:val="432"/>
        </w:trPr>
        <w:tc>
          <w:tcPr>
            <w:tcW w:w="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9.</w:t>
            </w:r>
          </w:p>
        </w:tc>
        <w:tc>
          <w:tcPr>
            <w:tcW w:w="10260" w:type="dxa"/>
            <w:vAlign w:val="bottom"/>
          </w:tcPr>
          <w:p>
            <w:pPr>
              <w:ind w:left="320"/>
              <w:spacing w:after="0"/>
              <w:rPr>
                <w:sz w:val="20"/>
                <w:szCs w:val="20"/>
                <w:color w:val="auto"/>
              </w:rPr>
            </w:pPr>
            <w:r>
              <w:rPr>
                <w:rFonts w:ascii="Times New Roman" w:cs="Times New Roman" w:eastAsia="Times New Roman" w:hAnsi="Times New Roman"/>
                <w:sz w:val="18"/>
                <w:szCs w:val="18"/>
                <w:b w:val="1"/>
                <w:bCs w:val="1"/>
                <w:color w:val="auto"/>
              </w:rPr>
              <w:t>Notice of Dissolution of Group</w:t>
            </w:r>
          </w:p>
        </w:tc>
      </w:tr>
      <w:tr>
        <w:trPr>
          <w:trHeight w:val="432"/>
        </w:trPr>
        <w:tc>
          <w:tcPr>
            <w:tcW w:w="980" w:type="dxa"/>
            <w:vAlign w:val="bottom"/>
          </w:tcPr>
          <w:p>
            <w:pPr>
              <w:spacing w:after="0"/>
              <w:rPr>
                <w:sz w:val="24"/>
                <w:szCs w:val="24"/>
                <w:color w:val="auto"/>
              </w:rPr>
            </w:pPr>
          </w:p>
        </w:tc>
        <w:tc>
          <w:tcPr>
            <w:tcW w:w="102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Not Applicable.</w:t>
            </w:r>
          </w:p>
        </w:tc>
      </w:tr>
      <w:tr>
        <w:trPr>
          <w:trHeight w:val="432"/>
        </w:trPr>
        <w:tc>
          <w:tcPr>
            <w:tcW w:w="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10.</w:t>
            </w:r>
          </w:p>
        </w:tc>
        <w:tc>
          <w:tcPr>
            <w:tcW w:w="10260" w:type="dxa"/>
            <w:vAlign w:val="bottom"/>
          </w:tcPr>
          <w:p>
            <w:pPr>
              <w:ind w:left="320"/>
              <w:spacing w:after="0"/>
              <w:rPr>
                <w:sz w:val="20"/>
                <w:szCs w:val="20"/>
                <w:color w:val="auto"/>
              </w:rPr>
            </w:pPr>
            <w:r>
              <w:rPr>
                <w:rFonts w:ascii="Times New Roman" w:cs="Times New Roman" w:eastAsia="Times New Roman" w:hAnsi="Times New Roman"/>
                <w:sz w:val="18"/>
                <w:szCs w:val="18"/>
                <w:b w:val="1"/>
                <w:bCs w:val="1"/>
                <w:color w:val="auto"/>
              </w:rPr>
              <w:t>Certification</w:t>
            </w:r>
          </w:p>
        </w:tc>
      </w:tr>
      <w:tr>
        <w:trPr>
          <w:trHeight w:val="414"/>
        </w:trPr>
        <w:tc>
          <w:tcPr>
            <w:tcW w:w="980" w:type="dxa"/>
            <w:vAlign w:val="bottom"/>
          </w:tcPr>
          <w:p>
            <w:pPr>
              <w:spacing w:after="0"/>
              <w:rPr>
                <w:sz w:val="24"/>
                <w:szCs w:val="24"/>
                <w:color w:val="auto"/>
              </w:rPr>
            </w:pPr>
          </w:p>
        </w:tc>
        <w:tc>
          <w:tcPr>
            <w:tcW w:w="102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By signing below I certify that, to the best of my knowledge and belief, the securities referred to above were acquired and are held in the</w:t>
            </w:r>
          </w:p>
        </w:tc>
      </w:tr>
      <w:tr>
        <w:trPr>
          <w:trHeight w:val="216"/>
        </w:trPr>
        <w:tc>
          <w:tcPr>
            <w:tcW w:w="980" w:type="dxa"/>
            <w:vAlign w:val="bottom"/>
          </w:tcPr>
          <w:p>
            <w:pPr>
              <w:spacing w:after="0"/>
              <w:rPr>
                <w:sz w:val="18"/>
                <w:szCs w:val="18"/>
                <w:color w:val="auto"/>
              </w:rPr>
            </w:pPr>
          </w:p>
        </w:tc>
        <w:tc>
          <w:tcPr>
            <w:tcW w:w="102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ordinary course of business and were not acquired and are not held for the purpose of or with the effect of changing or influencing the</w:t>
            </w:r>
          </w:p>
        </w:tc>
      </w:tr>
      <w:tr>
        <w:trPr>
          <w:trHeight w:val="216"/>
        </w:trPr>
        <w:tc>
          <w:tcPr>
            <w:tcW w:w="980" w:type="dxa"/>
            <w:vAlign w:val="bottom"/>
          </w:tcPr>
          <w:p>
            <w:pPr>
              <w:spacing w:after="0"/>
              <w:rPr>
                <w:sz w:val="18"/>
                <w:szCs w:val="18"/>
                <w:color w:val="auto"/>
              </w:rPr>
            </w:pPr>
          </w:p>
        </w:tc>
        <w:tc>
          <w:tcPr>
            <w:tcW w:w="102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control of the issuer of the securities and were not acquired and are not held in connection with or as a participant in any transaction</w:t>
            </w:r>
          </w:p>
        </w:tc>
      </w:tr>
      <w:tr>
        <w:trPr>
          <w:trHeight w:val="234"/>
        </w:trPr>
        <w:tc>
          <w:tcPr>
            <w:tcW w:w="980" w:type="dxa"/>
            <w:vAlign w:val="bottom"/>
          </w:tcPr>
          <w:p>
            <w:pPr>
              <w:spacing w:after="0"/>
              <w:rPr>
                <w:sz w:val="20"/>
                <w:szCs w:val="20"/>
                <w:color w:val="auto"/>
              </w:rPr>
            </w:pPr>
          </w:p>
        </w:tc>
        <w:tc>
          <w:tcPr>
            <w:tcW w:w="102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having that purpose or effect, other than activities solely in connection with a nomination under § 240.14a–11.</w:t>
            </w:r>
          </w:p>
        </w:tc>
      </w:tr>
      <w:tr>
        <w:trPr>
          <w:trHeight w:val="398"/>
        </w:trPr>
        <w:tc>
          <w:tcPr>
            <w:tcW w:w="980" w:type="dxa"/>
            <w:vAlign w:val="bottom"/>
            <w:tcBorders>
              <w:bottom w:val="single" w:sz="8" w:color="auto"/>
            </w:tcBorders>
          </w:tcPr>
          <w:p>
            <w:pPr>
              <w:spacing w:after="0"/>
              <w:rPr>
                <w:sz w:val="24"/>
                <w:szCs w:val="24"/>
                <w:color w:val="auto"/>
              </w:rPr>
            </w:pPr>
          </w:p>
        </w:tc>
        <w:tc>
          <w:tcPr>
            <w:tcW w:w="102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21" w:right="339" w:bottom="1440" w:gutter="0" w:footer="0" w:header="0"/>
        </w:sectPr>
      </w:pPr>
    </w:p>
    <w:bookmarkStart w:id="4" w:name="page5"/>
    <w:bookmarkEnd w:id="4"/>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After reasonable inquiry and to the best of my knowledge and belief, I certify that the information set forth in this statement is true, complete and correct.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February 14, 2024</w:t>
      </w:r>
    </w:p>
    <w:p>
      <w:pPr>
        <w:spacing w:after="0" w:line="22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BLUE OWL CAPITAL HOLDINGS LP</w:t>
      </w:r>
    </w:p>
    <w:p>
      <w:pPr>
        <w:spacing w:after="0" w:line="22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Karen Hager</w:t>
      </w:r>
    </w:p>
    <w:p>
      <w:pPr>
        <w:spacing w:after="0" w:line="3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Karen Hager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3776980</wp:posOffset>
            </wp:positionH>
            <wp:positionV relativeFrom="paragraph">
              <wp:posOffset>-127635</wp:posOffset>
            </wp:positionV>
            <wp:extent cx="33604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60420" cy="17145"/>
                    </a:xfrm>
                    <a:prstGeom prst="rect">
                      <a:avLst/>
                    </a:prstGeom>
                    <a:noFill/>
                  </pic:spPr>
                </pic:pic>
              </a:graphicData>
            </a:graphic>
          </wp:anchor>
        </w:drawing>
      </w:r>
    </w:p>
    <w:p>
      <w:pPr>
        <w:spacing w:after="0" w:line="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Title: Chief Compliance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340360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060"/>
      </w:cols>
      <w:pgMar w:left="320" w:top="117" w:right="5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2024-02-14T20:14:10Z</dcterms:created>
  <dcterms:modified xsi:type="dcterms:W3CDTF">2024-02-14T20:14:10Z</dcterms:modified>
</cp:coreProperties>
</file>