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20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4"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25"/>
          <w:szCs w:val="25"/>
          <w:u w:val="single" w:color="auto"/>
          <w:color w:val="auto"/>
        </w:rPr>
        <w:t>ORCHARD THERAPEUTICS PLC</w:t>
      </w:r>
    </w:p>
    <w:p>
      <w:pPr>
        <w:spacing w:after="0" w:line="34"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u w:val="single" w:color="auto"/>
          <w:color w:val="auto"/>
        </w:rPr>
        <w:t>Ordinary Shares, nominal value £0.10 per share</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68570P200</w:t>
      </w:r>
    </w:p>
    <w:p>
      <w:pPr>
        <w:spacing w:after="0" w:line="2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u w:val="single" w:color="auto"/>
          <w:color w:val="auto"/>
        </w:rPr>
        <w:t>December 31, 2023</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40" w:right="8660" w:firstLine="4"/>
        <w:spacing w:after="0" w:line="226" w:lineRule="exact"/>
        <w:tabs>
          <w:tab w:leader="none" w:pos="89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900" w:hanging="25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157480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749300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7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68570P200</w:t>
      </w:r>
    </w:p>
    <w:p>
      <w:pPr>
        <w:spacing w:after="0" w:line="239" w:lineRule="exact"/>
        <w:rPr>
          <w:sz w:val="20"/>
          <w:szCs w:val="20"/>
          <w:color w:val="auto"/>
        </w:rPr>
      </w:pPr>
    </w:p>
    <w:p>
      <w:pPr>
        <w:ind w:left="580" w:hanging="381"/>
        <w:spacing w:after="0"/>
        <w:tabs>
          <w:tab w:leader="none" w:pos="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580" w:right="5080"/>
        <w:spacing w:after="0" w:line="49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RA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-687070</wp:posOffset>
            </wp:positionV>
            <wp:extent cx="7132320" cy="5871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580" w:hanging="381"/>
        <w:spacing w:after="0"/>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7720" w:hanging="514"/>
        <w:spacing w:after="0" w:line="207" w:lineRule="exact"/>
        <w:tabs>
          <w:tab w:leader="none" w:pos="77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7740" w:hanging="534"/>
        <w:spacing w:after="0" w:line="207" w:lineRule="exact"/>
        <w:tabs>
          <w:tab w:leader="none" w:pos="774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9" w:lineRule="exact"/>
        <w:rPr>
          <w:sz w:val="20"/>
          <w:szCs w:val="20"/>
          <w:color w:val="auto"/>
        </w:rPr>
      </w:pPr>
    </w:p>
    <w:p>
      <w:pPr>
        <w:ind w:left="580" w:hanging="381"/>
        <w:spacing w:after="0"/>
        <w:tabs>
          <w:tab w:leader="none" w:pos="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580" w:right="7000" w:hanging="381"/>
        <w:spacing w:after="0" w:line="506" w:lineRule="auto"/>
        <w:tabs>
          <w:tab w:leader="none" w:pos="5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380" w:type="dxa"/>
            <w:vAlign w:val="bottom"/>
            <w:vMerge w:val="continue"/>
          </w:tcPr>
          <w:p>
            <w:pPr>
              <w:spacing w:after="0"/>
              <w:rPr>
                <w:sz w:val="16"/>
                <w:szCs w:val="16"/>
                <w:color w:val="auto"/>
              </w:rPr>
            </w:pPr>
          </w:p>
        </w:tc>
        <w:tc>
          <w:tcPr>
            <w:tcW w:w="40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b w:val="1"/>
                <w:bCs w:val="1"/>
                <w:color w:val="auto"/>
              </w:rPr>
              <w:t>6</w:t>
            </w:r>
          </w:p>
        </w:tc>
        <w:tc>
          <w:tcPr>
            <w:tcW w:w="934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tcPr>
          <w:p>
            <w:pPr>
              <w:spacing w:after="0"/>
              <w:rPr>
                <w:sz w:val="18"/>
                <w:szCs w:val="18"/>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3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1"/>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Borders>
              <w:bottom w:val="single" w:sz="8" w:color="auto"/>
            </w:tcBorders>
          </w:tcPr>
          <w:p>
            <w:pPr>
              <w:spacing w:after="0"/>
              <w:rPr>
                <w:sz w:val="20"/>
                <w:szCs w:val="20"/>
                <w:color w:val="auto"/>
              </w:rPr>
            </w:pPr>
          </w:p>
        </w:tc>
        <w:tc>
          <w:tcPr>
            <w:tcW w:w="9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580" w:hanging="381"/>
        <w:spacing w:after="0"/>
        <w:tabs>
          <w:tab w:leader="none" w:pos="5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580" w:hanging="426"/>
        <w:spacing w:after="0" w:line="207" w:lineRule="exact"/>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580" w:right="5720" w:hanging="421"/>
        <w:spacing w:after="0" w:line="506" w:lineRule="auto"/>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0.0%</w:t>
      </w:r>
    </w:p>
    <w:p>
      <w:pPr>
        <w:spacing w:after="0" w:line="4" w:lineRule="exact"/>
        <w:rPr>
          <w:rFonts w:ascii="Times New Roman" w:cs="Times New Roman" w:eastAsia="Times New Roman" w:hAnsi="Times New Roman"/>
          <w:sz w:val="18"/>
          <w:szCs w:val="18"/>
          <w:b w:val="1"/>
          <w:bCs w:val="1"/>
          <w:color w:val="auto"/>
        </w:rPr>
      </w:pPr>
    </w:p>
    <w:p>
      <w:pPr>
        <w:ind w:left="580" w:right="6320" w:hanging="426"/>
        <w:spacing w:after="0" w:line="532" w:lineRule="auto"/>
        <w:tabs>
          <w:tab w:leader="none" w:pos="5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68570P200</w:t>
      </w:r>
    </w:p>
    <w:p>
      <w:pPr>
        <w:spacing w:after="0" w:line="239" w:lineRule="exact"/>
        <w:rPr>
          <w:sz w:val="20"/>
          <w:szCs w:val="20"/>
          <w:color w:val="auto"/>
        </w:rPr>
      </w:pPr>
    </w:p>
    <w:p>
      <w:pPr>
        <w:ind w:left="580" w:hanging="381"/>
        <w:spacing w:after="0"/>
        <w:tabs>
          <w:tab w:leader="none" w:pos="5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580" w:right="5080"/>
        <w:spacing w:after="0" w:line="49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-687070</wp:posOffset>
            </wp:positionV>
            <wp:extent cx="7132320" cy="5734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ind w:left="580" w:hanging="381"/>
        <w:spacing w:after="0"/>
        <w:tabs>
          <w:tab w:leader="none" w:pos="5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7720" w:hanging="514"/>
        <w:spacing w:after="0" w:line="207" w:lineRule="exact"/>
        <w:tabs>
          <w:tab w:leader="none" w:pos="772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7740" w:hanging="534"/>
        <w:spacing w:after="0" w:line="207" w:lineRule="exact"/>
        <w:tabs>
          <w:tab w:leader="none" w:pos="774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9" w:lineRule="exact"/>
        <w:rPr>
          <w:sz w:val="20"/>
          <w:szCs w:val="20"/>
          <w:color w:val="auto"/>
        </w:rPr>
      </w:pPr>
    </w:p>
    <w:p>
      <w:pPr>
        <w:ind w:left="580" w:hanging="381"/>
        <w:spacing w:after="0"/>
        <w:tabs>
          <w:tab w:leader="none" w:pos="5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580" w:right="7000" w:hanging="381"/>
        <w:spacing w:after="0" w:line="506" w:lineRule="auto"/>
        <w:tabs>
          <w:tab w:leader="none" w:pos="5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United States of America</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3"/>
        </w:trPr>
        <w:tc>
          <w:tcPr>
            <w:tcW w:w="14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9"/>
                <w:szCs w:val="9"/>
                <w:color w:val="auto"/>
              </w:rPr>
            </w:pPr>
          </w:p>
        </w:tc>
        <w:tc>
          <w:tcPr>
            <w:tcW w:w="9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9"/>
        </w:trPr>
        <w:tc>
          <w:tcPr>
            <w:tcW w:w="14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vMerge w:val="continue"/>
          </w:tcPr>
          <w:p>
            <w:pPr>
              <w:spacing w:after="0"/>
              <w:rPr>
                <w:sz w:val="12"/>
                <w:szCs w:val="12"/>
                <w:color w:val="auto"/>
              </w:rPr>
            </w:pPr>
          </w:p>
        </w:tc>
        <w:tc>
          <w:tcPr>
            <w:tcW w:w="9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20" w:type="dxa"/>
            <w:vAlign w:val="bottom"/>
            <w:vMerge w:val="continue"/>
          </w:tcPr>
          <w:p>
            <w:pPr>
              <w:spacing w:after="0"/>
              <w:rPr>
                <w:sz w:val="6"/>
                <w:szCs w:val="6"/>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Borders>
              <w:bottom w:val="single" w:sz="8" w:color="auto"/>
            </w:tcBorders>
          </w:tcPr>
          <w:p>
            <w:pPr>
              <w:spacing w:after="0"/>
              <w:rPr>
                <w:sz w:val="12"/>
                <w:szCs w:val="12"/>
                <w:color w:val="auto"/>
              </w:rPr>
            </w:pPr>
          </w:p>
        </w:tc>
        <w:tc>
          <w:tcPr>
            <w:tcW w:w="9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420" w:type="dxa"/>
            <w:vAlign w:val="bottom"/>
            <w:vMerge w:val="continue"/>
          </w:tcPr>
          <w:p>
            <w:pPr>
              <w:spacing w:after="0"/>
              <w:rPr>
                <w:sz w:val="6"/>
                <w:szCs w:val="6"/>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142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580" w:hanging="381"/>
        <w:spacing w:after="0"/>
        <w:tabs>
          <w:tab w:leader="none" w:pos="5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580" w:hanging="426"/>
        <w:spacing w:after="0" w:line="207" w:lineRule="exact"/>
        <w:tabs>
          <w:tab w:leader="none" w:pos="5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580" w:right="5720" w:hanging="421"/>
        <w:spacing w:after="0" w:line="506" w:lineRule="auto"/>
        <w:tabs>
          <w:tab w:leader="none" w:pos="5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0.0%</w:t>
      </w:r>
    </w:p>
    <w:p>
      <w:pPr>
        <w:spacing w:after="0" w:line="4" w:lineRule="exact"/>
        <w:rPr>
          <w:rFonts w:ascii="Times New Roman" w:cs="Times New Roman" w:eastAsia="Times New Roman" w:hAnsi="Times New Roman"/>
          <w:sz w:val="18"/>
          <w:szCs w:val="18"/>
          <w:b w:val="1"/>
          <w:bCs w:val="1"/>
          <w:color w:val="auto"/>
        </w:rPr>
      </w:pPr>
    </w:p>
    <w:p>
      <w:pPr>
        <w:ind w:left="580" w:right="6320" w:hanging="426"/>
        <w:spacing w:after="0" w:line="532" w:lineRule="auto"/>
        <w:tabs>
          <w:tab w:leader="none" w:pos="5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68570P200</w:t>
      </w:r>
    </w:p>
    <w:p>
      <w:pPr>
        <w:spacing w:after="0" w:line="239" w:lineRule="exact"/>
        <w:rPr>
          <w:sz w:val="20"/>
          <w:szCs w:val="20"/>
          <w:color w:val="auto"/>
        </w:rPr>
      </w:pPr>
    </w:p>
    <w:p>
      <w:pPr>
        <w:ind w:left="580" w:hanging="381"/>
        <w:spacing w:after="0"/>
        <w:tabs>
          <w:tab w:leader="none" w:pos="5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580" w:right="5080"/>
        <w:spacing w:after="0" w:line="49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-687070</wp:posOffset>
            </wp:positionV>
            <wp:extent cx="7132320" cy="5734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ind w:left="580" w:hanging="381"/>
        <w:spacing w:after="0"/>
        <w:tabs>
          <w:tab w:leader="none" w:pos="5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7720" w:hanging="514"/>
        <w:spacing w:after="0" w:line="207" w:lineRule="exact"/>
        <w:tabs>
          <w:tab w:leader="none" w:pos="7720"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7740" w:hanging="534"/>
        <w:spacing w:after="0" w:line="207" w:lineRule="exact"/>
        <w:tabs>
          <w:tab w:leader="none" w:pos="7740"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9" w:lineRule="exact"/>
        <w:rPr>
          <w:sz w:val="20"/>
          <w:szCs w:val="20"/>
          <w:color w:val="auto"/>
        </w:rPr>
      </w:pPr>
    </w:p>
    <w:p>
      <w:pPr>
        <w:ind w:left="580" w:hanging="381"/>
        <w:spacing w:after="0"/>
        <w:tabs>
          <w:tab w:leader="none" w:pos="5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580" w:right="7000" w:hanging="381"/>
        <w:spacing w:after="0" w:line="506" w:lineRule="auto"/>
        <w:tabs>
          <w:tab w:leader="none" w:pos="5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United States of America</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3"/>
        </w:trPr>
        <w:tc>
          <w:tcPr>
            <w:tcW w:w="14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9"/>
                <w:szCs w:val="9"/>
                <w:color w:val="auto"/>
              </w:rPr>
            </w:pPr>
          </w:p>
        </w:tc>
        <w:tc>
          <w:tcPr>
            <w:tcW w:w="9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9"/>
        </w:trPr>
        <w:tc>
          <w:tcPr>
            <w:tcW w:w="14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vMerge w:val="continue"/>
          </w:tcPr>
          <w:p>
            <w:pPr>
              <w:spacing w:after="0"/>
              <w:rPr>
                <w:sz w:val="12"/>
                <w:szCs w:val="12"/>
                <w:color w:val="auto"/>
              </w:rPr>
            </w:pPr>
          </w:p>
        </w:tc>
        <w:tc>
          <w:tcPr>
            <w:tcW w:w="9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20" w:type="dxa"/>
            <w:vAlign w:val="bottom"/>
            <w:vMerge w:val="continue"/>
          </w:tcPr>
          <w:p>
            <w:pPr>
              <w:spacing w:after="0"/>
              <w:rPr>
                <w:sz w:val="6"/>
                <w:szCs w:val="6"/>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Borders>
              <w:bottom w:val="single" w:sz="8" w:color="auto"/>
            </w:tcBorders>
          </w:tcPr>
          <w:p>
            <w:pPr>
              <w:spacing w:after="0"/>
              <w:rPr>
                <w:sz w:val="12"/>
                <w:szCs w:val="12"/>
                <w:color w:val="auto"/>
              </w:rPr>
            </w:pPr>
          </w:p>
        </w:tc>
        <w:tc>
          <w:tcPr>
            <w:tcW w:w="9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420" w:type="dxa"/>
            <w:vAlign w:val="bottom"/>
            <w:vMerge w:val="continue"/>
          </w:tcPr>
          <w:p>
            <w:pPr>
              <w:spacing w:after="0"/>
              <w:rPr>
                <w:sz w:val="6"/>
                <w:szCs w:val="6"/>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142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580" w:hanging="381"/>
        <w:spacing w:after="0"/>
        <w:tabs>
          <w:tab w:leader="none" w:pos="5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580" w:hanging="426"/>
        <w:spacing w:after="0" w:line="207" w:lineRule="exact"/>
        <w:tabs>
          <w:tab w:leader="none" w:pos="5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580" w:right="5720" w:hanging="421"/>
        <w:spacing w:after="0" w:line="506" w:lineRule="auto"/>
        <w:tabs>
          <w:tab w:leader="none" w:pos="5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0.0%</w:t>
      </w:r>
    </w:p>
    <w:p>
      <w:pPr>
        <w:spacing w:after="0" w:line="4" w:lineRule="exact"/>
        <w:rPr>
          <w:rFonts w:ascii="Times New Roman" w:cs="Times New Roman" w:eastAsia="Times New Roman" w:hAnsi="Times New Roman"/>
          <w:sz w:val="18"/>
          <w:szCs w:val="18"/>
          <w:b w:val="1"/>
          <w:bCs w:val="1"/>
          <w:color w:val="auto"/>
        </w:rPr>
      </w:pPr>
    </w:p>
    <w:p>
      <w:pPr>
        <w:ind w:left="580" w:right="6320" w:hanging="426"/>
        <w:spacing w:after="0" w:line="532" w:lineRule="auto"/>
        <w:tabs>
          <w:tab w:leader="none" w:pos="5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68570P200</w:t>
      </w:r>
    </w:p>
    <w:p>
      <w:pPr>
        <w:spacing w:after="0" w:line="239" w:lineRule="exact"/>
        <w:rPr>
          <w:sz w:val="20"/>
          <w:szCs w:val="20"/>
          <w:color w:val="auto"/>
        </w:rPr>
      </w:pPr>
    </w:p>
    <w:p>
      <w:pPr>
        <w:ind w:left="580" w:hanging="381"/>
        <w:spacing w:after="0"/>
        <w:tabs>
          <w:tab w:leader="none" w:pos="5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580" w:right="5080"/>
        <w:spacing w:after="0" w:line="49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 RA Capital 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-687070</wp:posOffset>
            </wp:positionV>
            <wp:extent cx="7132320" cy="5734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ind w:left="580" w:hanging="381"/>
        <w:spacing w:after="0"/>
        <w:tabs>
          <w:tab w:leader="none" w:pos="5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7720" w:hanging="514"/>
        <w:spacing w:after="0" w:line="207" w:lineRule="exact"/>
        <w:tabs>
          <w:tab w:leader="none" w:pos="7720" w:val="left"/>
        </w:tabs>
        <w:numPr>
          <w:ilvl w:val="1"/>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7740" w:hanging="534"/>
        <w:spacing w:after="0" w:line="207" w:lineRule="exact"/>
        <w:tabs>
          <w:tab w:leader="none" w:pos="7740" w:val="left"/>
        </w:tabs>
        <w:numPr>
          <w:ilvl w:val="1"/>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9" w:lineRule="exact"/>
        <w:rPr>
          <w:sz w:val="20"/>
          <w:szCs w:val="20"/>
          <w:color w:val="auto"/>
        </w:rPr>
      </w:pPr>
    </w:p>
    <w:p>
      <w:pPr>
        <w:ind w:left="580" w:hanging="381"/>
        <w:spacing w:after="0"/>
        <w:tabs>
          <w:tab w:leader="none" w:pos="5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580" w:right="7000" w:hanging="381"/>
        <w:spacing w:after="0" w:line="506" w:lineRule="auto"/>
        <w:tabs>
          <w:tab w:leader="none" w:pos="5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3"/>
        </w:trPr>
        <w:tc>
          <w:tcPr>
            <w:tcW w:w="14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9"/>
                <w:szCs w:val="9"/>
                <w:color w:val="auto"/>
              </w:rPr>
            </w:pPr>
          </w:p>
        </w:tc>
        <w:tc>
          <w:tcPr>
            <w:tcW w:w="9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9"/>
        </w:trPr>
        <w:tc>
          <w:tcPr>
            <w:tcW w:w="14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vMerge w:val="continue"/>
          </w:tcPr>
          <w:p>
            <w:pPr>
              <w:spacing w:after="0"/>
              <w:rPr>
                <w:sz w:val="12"/>
                <w:szCs w:val="12"/>
                <w:color w:val="auto"/>
              </w:rPr>
            </w:pPr>
          </w:p>
        </w:tc>
        <w:tc>
          <w:tcPr>
            <w:tcW w:w="9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4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20" w:type="dxa"/>
            <w:vAlign w:val="bottom"/>
            <w:vMerge w:val="continue"/>
          </w:tcPr>
          <w:p>
            <w:pPr>
              <w:spacing w:after="0"/>
              <w:rPr>
                <w:sz w:val="6"/>
                <w:szCs w:val="6"/>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14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Borders>
              <w:bottom w:val="single" w:sz="8" w:color="auto"/>
            </w:tcBorders>
          </w:tcPr>
          <w:p>
            <w:pPr>
              <w:spacing w:after="0"/>
              <w:rPr>
                <w:sz w:val="12"/>
                <w:szCs w:val="12"/>
                <w:color w:val="auto"/>
              </w:rPr>
            </w:pPr>
          </w:p>
        </w:tc>
        <w:tc>
          <w:tcPr>
            <w:tcW w:w="9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420" w:type="dxa"/>
            <w:vAlign w:val="bottom"/>
            <w:vMerge w:val="continue"/>
          </w:tcPr>
          <w:p>
            <w:pPr>
              <w:spacing w:after="0"/>
              <w:rPr>
                <w:sz w:val="6"/>
                <w:szCs w:val="6"/>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142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580" w:hanging="381"/>
        <w:spacing w:after="0"/>
        <w:tabs>
          <w:tab w:leader="none" w:pos="5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580" w:hanging="426"/>
        <w:spacing w:after="0" w:line="207" w:lineRule="exact"/>
        <w:tabs>
          <w:tab w:leader="none" w:pos="5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580" w:right="5720" w:hanging="421"/>
        <w:spacing w:after="0" w:line="506" w:lineRule="auto"/>
        <w:tabs>
          <w:tab w:leader="none" w:pos="5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0.0%</w:t>
      </w:r>
    </w:p>
    <w:p>
      <w:pPr>
        <w:spacing w:after="0" w:line="4" w:lineRule="exact"/>
        <w:rPr>
          <w:rFonts w:ascii="Times New Roman" w:cs="Times New Roman" w:eastAsia="Times New Roman" w:hAnsi="Times New Roman"/>
          <w:sz w:val="18"/>
          <w:szCs w:val="18"/>
          <w:b w:val="1"/>
          <w:bCs w:val="1"/>
          <w:color w:val="auto"/>
        </w:rPr>
      </w:pPr>
    </w:p>
    <w:p>
      <w:pPr>
        <w:ind w:left="580" w:right="6320" w:hanging="426"/>
        <w:spacing w:after="0" w:line="532" w:lineRule="auto"/>
        <w:tabs>
          <w:tab w:leader="none" w:pos="5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Orchard Therapeutics PLC (the “Issuer”)</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245 Hammersmith Road, London W6 8PW, United Kingdom</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Management, L.P. (“RA Capital”)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Healthcare Fund, L.P. (the “Fund”)</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RA Capital Management, L.P., 200 Berkeley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u w:val="single" w:color="auto"/>
          <w:color w:val="auto"/>
        </w:rPr>
        <w:t>Citizenship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and the Fund are Delaware limited partnerships. Dr. Kolchinsky and Mr. Shah are United States citizens.</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Ordinary Shares, nominal value £0.10 per share (“Ordinary Shares”)</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b w:val="1"/>
          <w:bCs w:val="1"/>
          <w:u w:val="single" w:color="auto"/>
          <w:color w:val="auto"/>
        </w:rPr>
        <w:t>CUSIP Number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68570P200</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pages to this Schedule 13G/A.</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6" w:name="page7"/>
    <w:bookmarkEnd w:id="6"/>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u w:val="single" w:color="auto"/>
          <w:color w:val="auto"/>
        </w:rPr>
        <w:t>Ownership of More than Five Percent on Behalf of Another Person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Members of the Group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u w:val="single" w:color="auto"/>
          <w:color w:val="auto"/>
        </w:rPr>
        <w:t>Certification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Peter Kolchinsky</w:t>
            </w:r>
          </w:p>
        </w:tc>
      </w:tr>
      <w:tr>
        <w:trPr>
          <w:trHeight w:val="191"/>
        </w:trPr>
        <w:tc>
          <w:tcPr>
            <w:tcW w:w="580" w:type="dxa"/>
            <w:vAlign w:val="bottom"/>
          </w:tcPr>
          <w:p>
            <w:pPr>
              <w:spacing w:after="0"/>
              <w:rPr>
                <w:sz w:val="16"/>
                <w:szCs w:val="16"/>
                <w:color w:val="auto"/>
              </w:rPr>
            </w:pPr>
          </w:p>
        </w:tc>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Peter Kolchinsky</w:t>
            </w:r>
          </w:p>
        </w:tc>
      </w:tr>
      <w:tr>
        <w:trPr>
          <w:trHeight w:val="234"/>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 Capital Healthcare Fund GP, LLC</w:t>
            </w:r>
          </w:p>
        </w:tc>
        <w:tc>
          <w:tcPr>
            <w:tcW w:w="56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56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Peter Kolchinsky</w:t>
            </w:r>
          </w:p>
        </w:tc>
        <w:tc>
          <w:tcPr>
            <w:tcW w:w="562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Peter Kolchinsky</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w:t>
            </w:r>
          </w:p>
        </w:tc>
        <w:tc>
          <w:tcPr>
            <w:tcW w:w="5620" w:type="dxa"/>
            <w:vAlign w:val="bottom"/>
          </w:tcPr>
          <w:p>
            <w:pPr>
              <w:spacing w:after="0"/>
              <w:rPr>
                <w:sz w:val="20"/>
                <w:szCs w:val="20"/>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February 14, 2024, is by and among RA Capital Management, L.P., Peter Kolchinsky, Rajeev Shah, and RA Capital Healthcare Fund, L.P. (the foregoing are collectively referred to herein as the “Filers”).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13G and/or 13D with respect to Ordinary Shares, £0.10 nominal value per share of Orchard Therapeutics PLC beneficially owned by them from time to time.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terminated by any of the Filers upon one week’s prior written notice or such lesser period of notice as the Filers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Peter Kolchinsky</w:t>
            </w:r>
          </w:p>
        </w:tc>
      </w:tr>
      <w:tr>
        <w:trPr>
          <w:trHeight w:val="191"/>
        </w:trPr>
        <w:tc>
          <w:tcPr>
            <w:tcW w:w="580" w:type="dxa"/>
            <w:vAlign w:val="bottom"/>
          </w:tcPr>
          <w:p>
            <w:pPr>
              <w:spacing w:after="0"/>
              <w:rPr>
                <w:sz w:val="16"/>
                <w:szCs w:val="16"/>
                <w:color w:val="auto"/>
              </w:rPr>
            </w:pPr>
          </w:p>
        </w:tc>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Peter Kolchinsky</w:t>
            </w:r>
          </w:p>
        </w:tc>
      </w:tr>
      <w:tr>
        <w:trPr>
          <w:trHeight w:val="234"/>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 Capital Healthcare Fund GP, LLC</w:t>
            </w:r>
          </w:p>
        </w:tc>
        <w:tc>
          <w:tcPr>
            <w:tcW w:w="56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56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Peter Kolchinsky</w:t>
            </w:r>
          </w:p>
        </w:tc>
        <w:tc>
          <w:tcPr>
            <w:tcW w:w="562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Peter Kolchinsky</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w:t>
            </w:r>
          </w:p>
        </w:tc>
        <w:tc>
          <w:tcPr>
            <w:tcW w:w="5620" w:type="dxa"/>
            <w:vAlign w:val="bottom"/>
          </w:tcPr>
          <w:p>
            <w:pPr>
              <w:spacing w:after="0"/>
              <w:rPr>
                <w:sz w:val="20"/>
                <w:szCs w:val="20"/>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lvl w:ilvl="1">
      <w:lvlJc w:val="left"/>
      <w:lvlText w:val="(%2)"/>
      <w:numFmt w:val="lowerLetter"/>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9"/>
      <w:numFmt w:val="bullet"/>
      <w:start w:val="1"/>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2"/>
      <w:numFmt w:val="bullet"/>
      <w:start w:val="1"/>
    </w:lvl>
    <w:lvl w:ilvl="1">
      <w:lvlJc w:val="left"/>
      <w:lvlText w:val="(%2)"/>
      <w:numFmt w:val="lowerLetter"/>
      <w:start w:val="1"/>
    </w:lvl>
  </w:abstractNum>
  <w:abstractNum w:abstractNumId="9">
    <w:nsid w:val="519B500D"/>
    <w:multiLevelType w:val="hybridMultilevel"/>
    <w:lvl w:ilvl="0">
      <w:lvlJc w:val="left"/>
      <w:lvlText w:val="3"/>
      <w:numFmt w:val="bullet"/>
      <w:start w:val="1"/>
    </w:lvl>
  </w:abstractNum>
  <w:abstractNum w:abstractNumId="10">
    <w:nsid w:val="431BD7B7"/>
    <w:multiLevelType w:val="hybridMultilevel"/>
    <w:lvl w:ilvl="0">
      <w:lvlJc w:val="left"/>
      <w:lvlText w:val="4"/>
      <w:numFmt w:val="bullet"/>
      <w:start w:val="1"/>
    </w:lvl>
  </w:abstractNum>
  <w:abstractNum w:abstractNumId="11">
    <w:nsid w:val="3F2DBA31"/>
    <w:multiLevelType w:val="hybridMultilevel"/>
    <w:lvl w:ilvl="0">
      <w:lvlJc w:val="left"/>
      <w:lvlText w:val="9"/>
      <w:numFmt w:val="bullet"/>
      <w:start w:val="1"/>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lvl w:ilvl="1">
      <w:lvlJc w:val="left"/>
      <w:lvlText w:val="(%2)"/>
      <w:numFmt w:val="lowerLetter"/>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abstractNum>
  <w:abstractNum w:abstractNumId="17">
    <w:nsid w:val="333AB105"/>
    <w:multiLevelType w:val="hybridMultilevel"/>
    <w:lvl w:ilvl="0">
      <w:lvlJc w:val="left"/>
      <w:lvlText w:val="9"/>
      <w:numFmt w:val="bullet"/>
      <w:start w:val="1"/>
    </w:lvl>
  </w:abstractNum>
  <w:abstractNum w:abstractNumId="18">
    <w:nsid w:val="721DA317"/>
    <w:multiLevelType w:val="hybridMultilevel"/>
    <w:lvl w:ilvl="0">
      <w:lvlJc w:val="left"/>
      <w:lvlText w:val="%1"/>
      <w:numFmt w:val="decimal"/>
      <w:start w:val="10"/>
    </w:lvl>
  </w:abstractNum>
  <w:abstractNum w:abstractNumId="19">
    <w:nsid w:val="2443A858"/>
    <w:multiLevelType w:val="hybridMultilevel"/>
    <w:lvl w:ilvl="0">
      <w:lvlJc w:val="left"/>
      <w:lvlText w:val="1"/>
      <w:numFmt w:val="bullet"/>
      <w:start w:val="1"/>
    </w:lvl>
  </w:abstractNum>
  <w:abstractNum w:abstractNumId="20">
    <w:nsid w:val="2D1D5AE9"/>
    <w:multiLevelType w:val="hybridMultilevel"/>
    <w:lvl w:ilvl="0">
      <w:lvlJc w:val="left"/>
      <w:lvlText w:val="2"/>
      <w:numFmt w:val="bullet"/>
      <w:start w:val="1"/>
    </w:lvl>
    <w:lvl w:ilvl="1">
      <w:lvlJc w:val="left"/>
      <w:lvlText w:val="(%2)"/>
      <w:numFmt w:val="lowerLetter"/>
      <w:start w:val="1"/>
    </w:lvl>
  </w:abstractNum>
  <w:abstractNum w:abstractNumId="21">
    <w:nsid w:val="6763845E"/>
    <w:multiLevelType w:val="hybridMultilevel"/>
    <w:lvl w:ilvl="0">
      <w:lvlJc w:val="left"/>
      <w:lvlText w:val="3"/>
      <w:numFmt w:val="bullet"/>
      <w:start w:val="1"/>
    </w:lvl>
  </w:abstractNum>
  <w:abstractNum w:abstractNumId="22">
    <w:nsid w:val="75A2A8D4"/>
    <w:multiLevelType w:val="hybridMultilevel"/>
    <w:lvl w:ilvl="0">
      <w:lvlJc w:val="left"/>
      <w:lvlText w:val="4"/>
      <w:numFmt w:val="bullet"/>
      <w:start w:val="1"/>
    </w:lvl>
  </w:abstractNum>
  <w:abstractNum w:abstractNumId="23">
    <w:nsid w:val="8EDBDAB"/>
    <w:multiLevelType w:val="hybridMultilevel"/>
    <w:lvl w:ilvl="0">
      <w:lvlJc w:val="left"/>
      <w:lvlText w:val="9"/>
      <w:numFmt w:val="bullet"/>
      <w:start w:val="1"/>
    </w:lvl>
  </w:abstractNum>
  <w:abstractNum w:abstractNumId="24">
    <w:nsid w:val="79838CB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2024-02-14T19:02:24Z</dcterms:created>
  <dcterms:modified xsi:type="dcterms:W3CDTF">2024-02-14T19:02:24Z</dcterms:modified>
</cp:coreProperties>
</file>