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370" w:type="dxa"/>
        <w:tblCellMar>
          <w:top w:w="0" w:type="dxa"/>
          <w:left w:w="0" w:type="dxa"/>
          <w:bottom w:w="0" w:type="dxa"/>
          <w:right w:w="0" w:type="dxa"/>
        </w:tblCellMar>
      </w:tblPr>
      <w:tr>
        <w:trPr>
          <w:trHeight w:val="229"/>
        </w:trPr>
        <w:tc>
          <w:tcPr>
            <w:tcW w:w="2600" w:type="dxa"/>
            <w:vAlign w:val="bottom"/>
            <w:tcBorders>
              <w:top w:val="single" w:sz="8" w:color="auto"/>
              <w:left w:val="single" w:sz="8" w:color="auto"/>
              <w:bottom w:val="single" w:sz="8" w:color="auto"/>
              <w:right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OMB APPROVAL</w:t>
            </w:r>
          </w:p>
        </w:tc>
        <w:tc>
          <w:tcPr>
            <w:tcW w:w="40" w:type="dxa"/>
            <w:vAlign w:val="bottom"/>
          </w:tcPr>
          <w:p>
            <w:pPr>
              <w:spacing w:after="0"/>
              <w:rPr>
                <w:sz w:val="19"/>
                <w:szCs w:val="19"/>
                <w:color w:val="auto"/>
              </w:rPr>
            </w:pPr>
          </w:p>
        </w:tc>
      </w:tr>
      <w:tr>
        <w:trPr>
          <w:trHeight w:val="210"/>
        </w:trPr>
        <w:tc>
          <w:tcPr>
            <w:tcW w:w="154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OMB Number:</w:t>
            </w: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3235-0167  </w:t>
            </w:r>
          </w:p>
        </w:tc>
        <w:tc>
          <w:tcPr>
            <w:tcW w:w="40" w:type="dxa"/>
            <w:vAlign w:val="bottom"/>
          </w:tcPr>
          <w:p>
            <w:pPr>
              <w:spacing w:after="0"/>
              <w:rPr>
                <w:sz w:val="18"/>
                <w:szCs w:val="18"/>
                <w:color w:val="auto"/>
              </w:rPr>
            </w:pPr>
          </w:p>
        </w:tc>
      </w:tr>
      <w:tr>
        <w:trPr>
          <w:trHeight w:val="210"/>
        </w:trPr>
        <w:tc>
          <w:tcPr>
            <w:tcW w:w="154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Expires:</w:t>
            </w: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July 31, 2024  </w:t>
            </w:r>
          </w:p>
        </w:tc>
        <w:tc>
          <w:tcPr>
            <w:tcW w:w="40" w:type="dxa"/>
            <w:vAlign w:val="bottom"/>
          </w:tcPr>
          <w:p>
            <w:pPr>
              <w:spacing w:after="0"/>
              <w:rPr>
                <w:sz w:val="18"/>
                <w:szCs w:val="18"/>
                <w:color w:val="auto"/>
              </w:rPr>
            </w:pPr>
          </w:p>
        </w:tc>
      </w:tr>
      <w:tr>
        <w:trPr>
          <w:trHeight w:val="191"/>
        </w:trPr>
        <w:tc>
          <w:tcPr>
            <w:tcW w:w="2600" w:type="dxa"/>
            <w:vAlign w:val="bottom"/>
            <w:tcBorders>
              <w:left w:val="single" w:sz="8" w:color="auto"/>
              <w:right w:val="single" w:sz="8" w:color="auto"/>
            </w:tcBorders>
            <w:gridSpan w:val="2"/>
          </w:tcPr>
          <w:p>
            <w:pPr>
              <w:ind w:left="160"/>
              <w:spacing w:after="0" w:line="191" w:lineRule="exact"/>
              <w:rPr>
                <w:sz w:val="20"/>
                <w:szCs w:val="20"/>
                <w:color w:val="auto"/>
              </w:rPr>
            </w:pPr>
            <w:r>
              <w:rPr>
                <w:rFonts w:ascii="Times New Roman" w:cs="Times New Roman" w:eastAsia="Times New Roman" w:hAnsi="Times New Roman"/>
                <w:sz w:val="18"/>
                <w:szCs w:val="18"/>
                <w:color w:val="auto"/>
              </w:rPr>
              <w:t>Estimated average burden</w:t>
            </w:r>
          </w:p>
        </w:tc>
        <w:tc>
          <w:tcPr>
            <w:tcW w:w="40" w:type="dxa"/>
            <w:vAlign w:val="bottom"/>
          </w:tcPr>
          <w:p>
            <w:pPr>
              <w:spacing w:after="0"/>
              <w:rPr>
                <w:sz w:val="16"/>
                <w:szCs w:val="16"/>
                <w:color w:val="auto"/>
              </w:rPr>
            </w:pPr>
          </w:p>
        </w:tc>
      </w:tr>
      <w:tr>
        <w:trPr>
          <w:trHeight w:val="234"/>
        </w:trPr>
        <w:tc>
          <w:tcPr>
            <w:tcW w:w="154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hours per response</w:t>
            </w: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left="440" w:right="44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001-38722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191135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ORCHARD THERAPEUTICS PLC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245 Hammersmith Road, London W6 8PW, United Kingdom; +44 (0) 203 808-8286</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one ordinary share, nominal value £0.10 per share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000"/>
          </w:cols>
          <w:pgMar w:left="440" w:top="227" w:right="459" w:bottom="1440" w:gutter="0" w:footer="0" w:header="0"/>
        </w:sectPr>
      </w:pPr>
    </w:p>
    <w:p>
      <w:pPr>
        <w:spacing w:after="0" w:line="158"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2">
            <w:col w:w="5840" w:space="600"/>
            <w:col w:w="4560"/>
          </w:cols>
          <w:pgMar w:left="440" w:top="227"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 (1) holder</w:t>
      </w:r>
    </w:p>
    <w:p>
      <w:pPr>
        <w:spacing w:after="0" w:line="158" w:lineRule="exact"/>
        <w:rPr>
          <w:sz w:val="24"/>
          <w:szCs w:val="24"/>
          <w:color w:val="auto"/>
        </w:rPr>
      </w:pPr>
    </w:p>
    <w:p>
      <w:pPr>
        <w:ind w:right="13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(Name of registrant as specified in charter) has caused this certification/notice to be signed on its behalf by the undersigned duly authorized person.</w:t>
      </w:r>
    </w:p>
    <w:p>
      <w:pPr>
        <w:spacing w:after="0" w:line="94" w:lineRule="exact"/>
        <w:rPr>
          <w:sz w:val="24"/>
          <w:szCs w:val="24"/>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February 5, 2024</w:t>
      </w:r>
      <w:r>
        <w:rPr>
          <w:sz w:val="20"/>
          <w:szCs w:val="20"/>
          <w:color w:val="auto"/>
        </w:rPr>
        <w:tab/>
      </w:r>
      <w:r>
        <w:rPr>
          <w:rFonts w:ascii="Times New Roman" w:cs="Times New Roman" w:eastAsia="Times New Roman" w:hAnsi="Times New Roman"/>
          <w:sz w:val="18"/>
          <w:szCs w:val="18"/>
          <w:color w:val="auto"/>
        </w:rPr>
        <w:t>By:   /s/ Frank E. Thomas, President and Chief Operating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3855085</wp:posOffset>
            </wp:positionH>
            <wp:positionV relativeFrom="paragraph">
              <wp:posOffset>17145</wp:posOffset>
            </wp:positionV>
            <wp:extent cx="31375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51" w:lineRule="exact"/>
        <w:rPr>
          <w:sz w:val="24"/>
          <w:szCs w:val="24"/>
          <w:color w:val="auto"/>
        </w:rPr>
      </w:pPr>
    </w:p>
    <w:p>
      <w:pPr>
        <w:ind w:left="1760" w:right="140" w:hanging="1767"/>
        <w:spacing w:after="0" w:line="282" w:lineRule="auto"/>
        <w:tabs>
          <w:tab w:leader="none" w:pos="1740" w:val="left"/>
        </w:tabs>
        <w:rPr>
          <w:sz w:val="20"/>
          <w:szCs w:val="20"/>
          <w:color w:val="auto"/>
        </w:rPr>
      </w:pPr>
      <w:r>
        <w:rPr>
          <w:rFonts w:ascii="Times New Roman" w:cs="Times New Roman" w:eastAsia="Times New Roman" w:hAnsi="Times New Roman"/>
          <w:sz w:val="18"/>
          <w:szCs w:val="18"/>
          <w:color w:val="auto"/>
        </w:rPr>
        <w:t>SEC 2069 (08-11)</w:t>
      </w:r>
      <w:r>
        <w:rPr>
          <w:sz w:val="20"/>
          <w:szCs w:val="20"/>
          <w:color w:val="auto"/>
        </w:rPr>
        <w:tab/>
      </w:r>
      <w:r>
        <w:rPr>
          <w:rFonts w:ascii="Times New Roman" w:cs="Times New Roman" w:eastAsia="Times New Roman" w:hAnsi="Times New Roman"/>
          <w:sz w:val="18"/>
          <w:szCs w:val="18"/>
          <w:color w:val="auto"/>
        </w:rPr>
        <w:t>Potential persons who are to respond to the collection of information contained in this Form are not required to respond unless the Form displays a currently valid OMB control number.</w:t>
      </w:r>
    </w:p>
    <w:p>
      <w:pPr>
        <w:spacing w:after="0" w:line="94"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Instruction: This form is required by Rules 12g-4, 12h-3, 15d-6 and 15d-22 of the General Rules and Regulations under the Securities Exchange Act of 1934. The registrant shall file with the Commission three copies of Form 15, one of which shall be manually signed. It may be signed by an officer of the registrant, by counsel or by any other duly authorized person. The name and title of the person signing the form shall be typed or printed under the signature.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00"/>
      </w:cols>
      <w:pgMar w:left="440" w:top="227"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2024-02-05T13:44:53Z</dcterms:created>
  <dcterms:modified xsi:type="dcterms:W3CDTF">2024-02-05T13:44:53Z</dcterms:modified>
</cp:coreProperties>
</file>