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44"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5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ORCHARD THERAPEUTICS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924"/>
              <w:spacing w:after="0"/>
              <w:rPr>
                <w:sz w:val="20"/>
                <w:szCs w:val="20"/>
                <w:color w:val="auto"/>
              </w:rPr>
            </w:pPr>
            <w:r>
              <w:rPr>
                <w:rFonts w:ascii="Arial" w:cs="Arial" w:eastAsia="Arial" w:hAnsi="Arial"/>
                <w:sz w:val="18"/>
                <w:szCs w:val="18"/>
                <w:b w:val="1"/>
                <w:bCs w:val="1"/>
                <w:color w:val="auto"/>
                <w:w w:val="89"/>
              </w:rPr>
              <w:t>England and Wales</w:t>
            </w:r>
          </w:p>
        </w:tc>
        <w:tc>
          <w:tcPr>
            <w:tcW w:w="3140" w:type="dxa"/>
            <w:vAlign w:val="bottom"/>
          </w:tcPr>
          <w:p>
            <w:pPr>
              <w:jc w:val="center"/>
              <w:ind w:left="1926"/>
              <w:spacing w:after="0"/>
              <w:rPr>
                <w:sz w:val="20"/>
                <w:szCs w:val="20"/>
                <w:color w:val="auto"/>
              </w:rPr>
            </w:pPr>
            <w:r>
              <w:rPr>
                <w:rFonts w:ascii="Arial" w:cs="Arial" w:eastAsia="Arial" w:hAnsi="Arial"/>
                <w:sz w:val="18"/>
                <w:szCs w:val="18"/>
                <w:b w:val="1"/>
                <w:bCs w:val="1"/>
                <w:color w:val="auto"/>
                <w:w w:val="90"/>
              </w:rPr>
              <w:t>Not Applicable</w:t>
            </w:r>
          </w:p>
        </w:tc>
      </w:tr>
      <w:tr>
        <w:trPr>
          <w:trHeight w:val="135"/>
        </w:trPr>
        <w:tc>
          <w:tcPr>
            <w:tcW w:w="408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140" w:type="dxa"/>
            <w:vAlign w:val="bottom"/>
          </w:tcPr>
          <w:p>
            <w:pPr>
              <w:jc w:val="center"/>
              <w:ind w:left="19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08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140" w:type="dxa"/>
            <w:vAlign w:val="bottom"/>
          </w:tcPr>
          <w:p>
            <w:pPr>
              <w:jc w:val="center"/>
              <w:ind w:left="192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080" w:type="dxa"/>
            <w:vAlign w:val="bottom"/>
          </w:tcPr>
          <w:p>
            <w:pPr>
              <w:jc w:val="center"/>
              <w:ind w:right="1944"/>
              <w:spacing w:after="0"/>
              <w:rPr>
                <w:sz w:val="20"/>
                <w:szCs w:val="20"/>
                <w:color w:val="auto"/>
              </w:rPr>
            </w:pPr>
            <w:r>
              <w:rPr>
                <w:rFonts w:ascii="Arial" w:cs="Arial" w:eastAsia="Arial" w:hAnsi="Arial"/>
                <w:sz w:val="18"/>
                <w:szCs w:val="18"/>
                <w:b w:val="1"/>
                <w:bCs w:val="1"/>
                <w:color w:val="auto"/>
                <w:w w:val="89"/>
              </w:rPr>
              <w:t>108 Cannon Street</w:t>
            </w:r>
          </w:p>
        </w:tc>
        <w:tc>
          <w:tcPr>
            <w:tcW w:w="3140" w:type="dxa"/>
            <w:vAlign w:val="bottom"/>
          </w:tcPr>
          <w:p>
            <w:pPr>
              <w:spacing w:after="0"/>
              <w:rPr>
                <w:sz w:val="18"/>
                <w:szCs w:val="18"/>
                <w:color w:val="auto"/>
              </w:rPr>
            </w:pPr>
          </w:p>
        </w:tc>
      </w:tr>
      <w:tr>
        <w:trPr>
          <w:trHeight w:val="216"/>
        </w:trPr>
        <w:tc>
          <w:tcPr>
            <w:tcW w:w="4080" w:type="dxa"/>
            <w:vAlign w:val="bottom"/>
          </w:tcPr>
          <w:p>
            <w:pPr>
              <w:jc w:val="center"/>
              <w:ind w:right="1944"/>
              <w:spacing w:after="0"/>
              <w:rPr>
                <w:sz w:val="20"/>
                <w:szCs w:val="20"/>
                <w:color w:val="auto"/>
              </w:rPr>
            </w:pPr>
            <w:r>
              <w:rPr>
                <w:rFonts w:ascii="Arial" w:cs="Arial" w:eastAsia="Arial" w:hAnsi="Arial"/>
                <w:sz w:val="18"/>
                <w:szCs w:val="18"/>
                <w:b w:val="1"/>
                <w:bCs w:val="1"/>
                <w:color w:val="auto"/>
                <w:w w:val="92"/>
              </w:rPr>
              <w:t>London, United Kingdom</w:t>
            </w:r>
          </w:p>
        </w:tc>
        <w:tc>
          <w:tcPr>
            <w:tcW w:w="3140" w:type="dxa"/>
            <w:vAlign w:val="bottom"/>
          </w:tcPr>
          <w:p>
            <w:pPr>
              <w:jc w:val="center"/>
              <w:ind w:left="1926"/>
              <w:spacing w:after="0"/>
              <w:rPr>
                <w:sz w:val="20"/>
                <w:szCs w:val="20"/>
                <w:color w:val="auto"/>
              </w:rPr>
            </w:pPr>
            <w:r>
              <w:rPr>
                <w:rFonts w:ascii="Arial" w:cs="Arial" w:eastAsia="Arial" w:hAnsi="Arial"/>
                <w:sz w:val="18"/>
                <w:szCs w:val="18"/>
                <w:b w:val="1"/>
                <w:bCs w:val="1"/>
                <w:color w:val="auto"/>
                <w:w w:val="97"/>
              </w:rPr>
              <w:t>EC4N 6EU</w:t>
            </w:r>
          </w:p>
        </w:tc>
      </w:tr>
      <w:tr>
        <w:trPr>
          <w:trHeight w:val="164"/>
        </w:trPr>
        <w:tc>
          <w:tcPr>
            <w:tcW w:w="4080" w:type="dxa"/>
            <w:vAlign w:val="bottom"/>
          </w:tcPr>
          <w:p>
            <w:pPr>
              <w:jc w:val="center"/>
              <w:ind w:right="19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4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Registrant’s telephone number, including area code: +44 (0) 203 808-8286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American Depositary Shares, each representing one ordinary</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ORTX</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share, nominal value £0.10 per share</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30" w:lineRule="exact"/>
        <w:rPr>
          <w:sz w:val="24"/>
          <w:szCs w:val="24"/>
          <w:color w:val="auto"/>
        </w:rPr>
      </w:pPr>
    </w:p>
    <w:p>
      <w:pPr>
        <w:ind w:right="60" w:firstLine="59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October 31, 2021, the registrant had 125,498,931 ordinary shares, nominal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170" w:lineRule="exact"/>
        <w:rPr>
          <w:sz w:val="20"/>
          <w:szCs w:val="20"/>
          <w:color w:val="auto"/>
        </w:rPr>
      </w:pPr>
    </w:p>
    <w:p>
      <w:pPr>
        <w:ind w:left="740" w:right="7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10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02"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 therapy product candidates are based on a novel technology, which makes it difficult to predict the time and cost of product candidate development and of subsequently obtaining regulatory approval.</w:t>
      </w:r>
    </w:p>
    <w:p>
      <w:pPr>
        <w:spacing w:after="0" w:line="102" w:lineRule="exact"/>
        <w:rPr>
          <w:rFonts w:ascii="Arial" w:cs="Arial" w:eastAsia="Arial" w:hAnsi="Arial"/>
          <w:sz w:val="18"/>
          <w:szCs w:val="18"/>
          <w:color w:val="auto"/>
        </w:rPr>
      </w:pPr>
    </w:p>
    <w:p>
      <w:pPr>
        <w:ind w:left="740" w:right="60" w:hanging="368"/>
        <w:spacing w:after="0" w:line="30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from our clinical trials for OTL-200 for metachromatic leukodystrophy, or MLD, OTL-103 for Wiskott Aldrich syndrome, or WAS, and for any of our other product candidates may not be sufficiently robust to support marketing approval or the submission of marketing approval. Before we submit our product candidates for marketing approval, the U.S. Food and Drug Administration, or FDA, and/or the European Medicines Agency, or EMA, may require us to conduct additional clinical trials or evaluate patients for an additional follow-up period.</w:t>
      </w:r>
    </w:p>
    <w:p>
      <w:pPr>
        <w:spacing w:after="0" w:line="89" w:lineRule="exact"/>
        <w:rPr>
          <w:rFonts w:ascii="Arial" w:cs="Arial" w:eastAsia="Arial" w:hAnsi="Arial"/>
          <w:sz w:val="16"/>
          <w:szCs w:val="16"/>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Interim data and ad hoc analyses are preliminary in nature. Success in preclinical studies or early clinical trials may not be indicative of results obtained in later trials.</w:t>
      </w:r>
    </w:p>
    <w:p>
      <w:pPr>
        <w:spacing w:after="0" w:line="102"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have limited manufacturing experience and we rely on third party manufacturers that are often our single source of supply. We could experience manufacturing problems that result in delays in the development or commercialization of our commercial products or our product candidates or otherwise harm our business.</w:t>
      </w:r>
    </w:p>
    <w:p>
      <w:pPr>
        <w:spacing w:after="0" w:line="116" w:lineRule="exact"/>
        <w:rPr>
          <w:rFonts w:ascii="Arial" w:cs="Arial" w:eastAsia="Arial" w:hAnsi="Arial"/>
          <w:sz w:val="18"/>
          <w:szCs w:val="18"/>
          <w:color w:val="auto"/>
        </w:rPr>
      </w:pPr>
    </w:p>
    <w:p>
      <w:pPr>
        <w:ind w:left="740" w:right="3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Libmeldy™, Strimvelis® and our product candidates and the process for administering Libmeldy, Strimvelis and our product candidates may cause serious or undesirable side effects or adverse events or have other properties that could delay or prevent regulatory approval, limit commercial potential or result in significant negative consequences for our company.</w:t>
      </w:r>
    </w:p>
    <w:p>
      <w:pPr>
        <w:spacing w:after="0" w:line="116"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10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establish effective sales and marketing capabilities or enter into agreements with third parties to market, sell and gain reimbursement for Libmeldy and our product candidates that may be approved, we may not be successful in commercializing Libmeldy or our product candidates if and when approved, and we may be unable to generate product revenue.</w:t>
      </w:r>
    </w:p>
    <w:p>
      <w:pPr>
        <w:spacing w:after="0" w:line="116"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size and value of the market opportunities for our commercial products or product candidates are smaller than our estimates, or if we have difficulty in finding patients that meet eligibility requirements for Libmeldy, Strimvelis or any of our product candidates, if approved, our product revenues may be adversely affected and our business may suffer.</w:t>
      </w:r>
    </w:p>
    <w:p>
      <w:pPr>
        <w:spacing w:after="0" w:line="116" w:lineRule="exact"/>
        <w:rPr>
          <w:rFonts w:ascii="Arial" w:cs="Arial" w:eastAsia="Arial" w:hAnsi="Arial"/>
          <w:sz w:val="18"/>
          <w:szCs w:val="18"/>
          <w:color w:val="auto"/>
        </w:rPr>
      </w:pPr>
    </w:p>
    <w:p>
      <w:pPr>
        <w:ind w:left="740" w:right="18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in our industry and there can be no assurance that our commercial products or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19"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the ongoing COVID-19 pandemic or similar public health crises have caused and may continue to cause a disruption to the development of our product candidates and adversely impact our business.</w:t>
      </w:r>
    </w:p>
    <w:p>
      <w:pPr>
        <w:spacing w:after="0" w:line="10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57" w:lineRule="exact"/>
        <w:rPr>
          <w:rFonts w:ascii="Arial" w:cs="Arial" w:eastAsia="Arial" w:hAnsi="Arial"/>
          <w:sz w:val="18"/>
          <w:szCs w:val="18"/>
          <w:color w:val="auto"/>
        </w:rPr>
      </w:pPr>
    </w:p>
    <w:p>
      <w:pPr>
        <w:jc w:val="both"/>
        <w:ind w:left="740" w:right="28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become subject to claims that we are infringing certain third-party patents, for example, patents relating to lentiviral vectors, or other third-party intellectual property rights, any of which may prevent or delay our development and commercialization efforts and have a material adverse effect on our business.</w:t>
      </w:r>
    </w:p>
    <w:p>
      <w:pPr>
        <w:spacing w:after="0" w:line="116"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collaborations with third parties to develop or commercialize product candidates and we may continue to do so in the future. If these collaborations are not successful, our business could be adversely affected.</w:t>
      </w:r>
    </w:p>
    <w:p>
      <w:pPr>
        <w:spacing w:after="0" w:line="10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ADSs may be highly volatile and may fluctuate due to factors beyond our control.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in Part I, Item 1.A. and the other information set forth in this Quarterly Report on Form 10-Q for the period ended September 30, 2021,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7"/>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Financial Statements (Unaudited)</w:t>
              </w:r>
            </w:hyperlink>
          </w:p>
        </w:tc>
        <w:tc>
          <w:tcPr>
            <w:tcW w:w="68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Operations and Comprehensive (Loss)</w:t>
              </w:r>
            </w:hyperlink>
          </w:p>
        </w:tc>
        <w:tc>
          <w:tcPr>
            <w:tcW w:w="36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Shareholders’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Condensed Consolidated Financial Statements</w:t>
              </w:r>
            </w:hyperlink>
          </w:p>
        </w:tc>
        <w:tc>
          <w:tcPr>
            <w:tcW w:w="1680" w:type="dxa"/>
            <w:vAlign w:val="bottom"/>
            <w:gridSpan w:val="2"/>
          </w:tcPr>
          <w:p>
            <w:pPr>
              <w:spacing w:after="0"/>
              <w:rPr>
                <w:sz w:val="20"/>
                <w:szCs w:val="20"/>
                <w:color w:val="auto"/>
              </w:rPr>
            </w:pPr>
          </w:p>
        </w:tc>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49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OTHER INFORMATION</w:t>
              </w:r>
            </w:hyperlink>
          </w:p>
        </w:tc>
        <w:tc>
          <w:tcPr>
            <w:tcW w:w="742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Quarterly Report on Form 10-Q, or 10-Q, contains express or implied forward-looking statements within the meaning of Section 27A of the Securities Act of 1933, as amended, and Section 21E of the Securities Exchange Act of 1934, as amended, that involve substantial risks and uncertainties. In some cases, forward-looking statements may be identified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10-Q are based upon information available to our management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10-Q include, but are not limited to, statements about:</w:t>
      </w:r>
    </w:p>
    <w:p>
      <w:pPr>
        <w:spacing w:after="0" w:line="60" w:lineRule="exact"/>
        <w:rPr>
          <w:sz w:val="20"/>
          <w:szCs w:val="20"/>
          <w:color w:val="auto"/>
        </w:rPr>
      </w:pPr>
    </w:p>
    <w:p>
      <w:pPr>
        <w:ind w:left="1120" w:right="60" w:hanging="748"/>
        <w:spacing w:after="0" w:line="263"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and preclinical studies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scope or likelihood of regulatory submissions, filings, and approvals;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trials;</w:t>
      </w:r>
    </w:p>
    <w:p>
      <w:pPr>
        <w:spacing w:after="0" w:line="117" w:lineRule="exact"/>
        <w:rPr>
          <w:rFonts w:ascii="Arial" w:cs="Arial" w:eastAsia="Arial" w:hAnsi="Arial"/>
          <w:sz w:val="18"/>
          <w:szCs w:val="18"/>
          <w:color w:val="auto"/>
        </w:rPr>
      </w:pPr>
    </w:p>
    <w:p>
      <w:pPr>
        <w:ind w:left="1120" w:right="70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market opportunity for and size of the patient populations for Libmeldy (OTL-200) and our product candidates, if approved for commercial use;</w:t>
      </w:r>
    </w:p>
    <w:p>
      <w:pPr>
        <w:spacing w:after="0" w:line="62" w:lineRule="exact"/>
        <w:rPr>
          <w:rFonts w:ascii="Arial" w:cs="Arial" w:eastAsia="Arial" w:hAnsi="Arial"/>
          <w:sz w:val="18"/>
          <w:szCs w:val="18"/>
          <w:color w:val="auto"/>
        </w:rPr>
      </w:pPr>
    </w:p>
    <w:p>
      <w:pPr>
        <w:ind w:left="1120" w:right="86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commercial products, product candidates and technology;</w:t>
      </w:r>
    </w:p>
    <w:p>
      <w:pPr>
        <w:spacing w:after="0" w:line="62" w:lineRule="exact"/>
        <w:rPr>
          <w:rFonts w:ascii="Arial" w:cs="Arial" w:eastAsia="Arial" w:hAnsi="Arial"/>
          <w:sz w:val="18"/>
          <w:szCs w:val="18"/>
          <w:color w:val="auto"/>
        </w:rPr>
      </w:pPr>
    </w:p>
    <w:p>
      <w:pPr>
        <w:ind w:left="112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build out our commercial infrastructure and successfully identify eligible patients, launch, market, and sell Libmeldy in Europe and any current and future product candidates for which we receive marketing approval;</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120" w:right="54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Libmeldy, Strimvelis, and any of our product candidates, if approved, including reimbursement for patients treated in a country where they are not resident;</w:t>
      </w:r>
    </w:p>
    <w:p>
      <w:pPr>
        <w:spacing w:after="0" w:line="62" w:lineRule="exact"/>
        <w:rPr>
          <w:rFonts w:ascii="Arial" w:cs="Arial" w:eastAsia="Arial" w:hAnsi="Arial"/>
          <w:sz w:val="18"/>
          <w:szCs w:val="18"/>
          <w:color w:val="auto"/>
        </w:rPr>
      </w:pPr>
    </w:p>
    <w:p>
      <w:pPr>
        <w:ind w:left="1120" w:right="88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scalability and commercial viability of our manufacturing capacity, methods and processes, including those of our manufacturing partners, and plans for future development;</w:t>
      </w:r>
    </w:p>
    <w:p>
      <w:pPr>
        <w:spacing w:after="0" w:line="62" w:lineRule="exact"/>
        <w:rPr>
          <w:rFonts w:ascii="Arial" w:cs="Arial" w:eastAsia="Arial" w:hAnsi="Arial"/>
          <w:sz w:val="18"/>
          <w:szCs w:val="18"/>
          <w:color w:val="auto"/>
        </w:rPr>
      </w:pPr>
    </w:p>
    <w:p>
      <w:pPr>
        <w:ind w:left="1120" w:right="38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commercial products and product candidates, in particular, and gene therapy, in general;</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1120" w:right="6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global pandemic on our business operations, including clinical trials, regulatory strategy, and the operations of our third-party manufacturers, suppliers, and partners;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1120" w:right="22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commercial products and product candidates;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 party suppliers, clinical sites and manufacturers and their ability to perform adequately;</w:t>
      </w:r>
    </w:p>
    <w:p>
      <w:pPr>
        <w:spacing w:after="0" w:line="117" w:lineRule="exact"/>
        <w:rPr>
          <w:rFonts w:ascii="Arial" w:cs="Arial" w:eastAsia="Arial" w:hAnsi="Arial"/>
          <w:sz w:val="18"/>
          <w:szCs w:val="18"/>
          <w:color w:val="auto"/>
        </w:rPr>
      </w:pPr>
    </w:p>
    <w:p>
      <w:pPr>
        <w:ind w:left="1120" w:right="540" w:hanging="74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projected financial condition, including the sufficiency of our cash, cash equivalents and investments to fund operations in future periods and future liquidity, working capital and capital requirements; and</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“Item 1A. Risk Factors” in this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t>You should refer to the section titled “Item 1A. Risk Factors” in this 10-Q for a discussion of important factors that may cause our actual results to differ materially from those expressed or implied by our forward-looking statements. As a result of these factors, we cannot be assured that the forward-looking statements in this 10-Q will prove to be accurate. Furthermore, if our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You should read this 10-Q and the documents that we reference in this 10-Q and have filed as exhibits to this 10-Q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ORCHARD THERAPEUTICS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71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55,135</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179,819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136,813</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receivable, current</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291,462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223,535</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Operating lease right-of-use-assets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29,815</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Research and development tax credit receivable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355,657</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280,937</w:t>
            </w:r>
          </w:p>
        </w:tc>
        <w:tc>
          <w:tcPr>
            <w:tcW w:w="10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28,943</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Notes payable, current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44,245</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Notes payable, long-term</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20,204</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102,503</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Ordinary shares, £0.10 nominal value; 124,770,519 and 98,283,603 ordinary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tcPr>
          <w:p>
            <w:pPr>
              <w:ind w:left="380"/>
              <w:spacing w:after="0"/>
              <w:rPr>
                <w:sz w:val="20"/>
                <w:szCs w:val="20"/>
                <w:color w:val="auto"/>
              </w:rPr>
            </w:pPr>
            <w:r>
              <w:rPr>
                <w:rFonts w:ascii="Arial" w:cs="Arial" w:eastAsia="Arial" w:hAnsi="Arial"/>
                <w:sz w:val="18"/>
                <w:szCs w:val="18"/>
                <w:color w:val="auto"/>
                <w:w w:val="98"/>
              </w:rPr>
              <w:t>issued and outstanding at September 30, 2021 and December 31, 2020, respectively;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tcPr>
          <w:p>
            <w:pPr>
              <w:ind w:left="380"/>
              <w:spacing w:after="0"/>
              <w:rPr>
                <w:sz w:val="20"/>
                <w:szCs w:val="20"/>
                <w:color w:val="auto"/>
              </w:rPr>
            </w:pPr>
            <w:r>
              <w:rPr>
                <w:rFonts w:ascii="Arial" w:cs="Arial" w:eastAsia="Arial" w:hAnsi="Arial"/>
                <w:sz w:val="18"/>
                <w:szCs w:val="18"/>
                <w:color w:val="auto"/>
                <w:w w:val="99"/>
              </w:rPr>
              <w:t>715,434 and nil non-voting ordinary shares issued and outstanding at September 30,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00" w:type="dxa"/>
            <w:vAlign w:val="bottom"/>
          </w:tcPr>
          <w:p>
            <w:pPr>
              <w:ind w:left="380"/>
              <w:spacing w:after="0"/>
              <w:rPr>
                <w:sz w:val="20"/>
                <w:szCs w:val="20"/>
                <w:color w:val="auto"/>
              </w:rPr>
            </w:pPr>
            <w:r>
              <w:rPr>
                <w:rFonts w:ascii="Arial" w:cs="Arial" w:eastAsia="Arial" w:hAnsi="Arial"/>
                <w:sz w:val="18"/>
                <w:szCs w:val="18"/>
                <w:color w:val="auto"/>
              </w:rPr>
              <w:t>2021 and December 31, 2020, respectively</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Pr>
          <w:p>
            <w:pPr>
              <w:spacing w:after="0"/>
              <w:rPr>
                <w:sz w:val="20"/>
                <w:szCs w:val="20"/>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935,211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771,194</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(713,876)</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(605,640)</w:t>
            </w:r>
          </w:p>
        </w:tc>
      </w:tr>
      <w:tr>
        <w:trPr>
          <w:trHeight w:val="223"/>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241,298</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178,434</w:t>
            </w:r>
          </w:p>
        </w:tc>
        <w:tc>
          <w:tcPr>
            <w:tcW w:w="100" w:type="dxa"/>
            <w:vAlign w:val="bottom"/>
            <w:tcBorders>
              <w:bottom w:val="single" w:sz="8" w:color="CFF0FC"/>
            </w:tcBorders>
          </w:tcPr>
          <w:p>
            <w:pPr>
              <w:spacing w:after="0"/>
              <w:rPr>
                <w:sz w:val="19"/>
                <w:szCs w:val="19"/>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6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355,657</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ORCHARD THERAPEUTICS PLC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color w:val="auto"/>
        </w:rPr>
        <w:t>(In thousands, except share and per share amounts)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6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71,082</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48,760</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120,700</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(118,105)</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(1,814)</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(1,753)</w:t>
            </w: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(4,041)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(2,049)</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(2,223)</w:t>
            </w: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before income tax</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(107,532)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(119,175)</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(118,359)</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Unrealized gain (loss) on marketable securities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(116,969)</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127,376,562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99,664,616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122,765,516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99,255,370</w:t>
            </w:r>
          </w:p>
        </w:tc>
        <w:tc>
          <w:tcPr>
            <w:tcW w:w="120" w:type="dxa"/>
            <w:vAlign w:val="bottom"/>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ORCHARD THERAPEUTICS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147"/>
              <w:spacing w:after="0" w:line="155" w:lineRule="exact"/>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04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(108,236)</w:t>
            </w: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(118,359)</w:t>
            </w: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9"/>
                <w:szCs w:val="19"/>
                <w:color w:val="auto"/>
              </w:rPr>
            </w:pPr>
          </w:p>
        </w:tc>
      </w:tr>
      <w:tr>
        <w:trPr>
          <w:trHeight w:val="229"/>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share-based compensation</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21,221</w:t>
            </w: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ind w:left="500"/>
              <w:spacing w:after="0"/>
              <w:rPr>
                <w:sz w:val="20"/>
                <w:szCs w:val="20"/>
                <w:color w:val="auto"/>
              </w:rPr>
            </w:pPr>
            <w:r>
              <w:rPr>
                <w:rFonts w:ascii="Arial" w:cs="Arial" w:eastAsia="Arial" w:hAnsi="Arial"/>
                <w:sz w:val="18"/>
                <w:szCs w:val="18"/>
                <w:color w:val="auto"/>
              </w:rPr>
              <w:t>Impairment of long-lived assets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ind w:left="500"/>
              <w:spacing w:after="0"/>
              <w:rPr>
                <w:sz w:val="20"/>
                <w:szCs w:val="20"/>
                <w:color w:val="auto"/>
              </w:rPr>
            </w:pPr>
            <w:r>
              <w:rPr>
                <w:rFonts w:ascii="Arial" w:cs="Arial" w:eastAsia="Arial" w:hAnsi="Arial"/>
                <w:sz w:val="18"/>
                <w:szCs w:val="18"/>
                <w:color w:val="auto"/>
              </w:rPr>
              <w:t>Non-cash consideration for licenses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Strimvelis loss provision</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(2,018)</w:t>
            </w:r>
          </w:p>
        </w:tc>
      </w:tr>
      <w:tr>
        <w:trPr>
          <w:trHeight w:val="229"/>
        </w:trPr>
        <w:tc>
          <w:tcPr>
            <w:tcW w:w="7040" w:type="dxa"/>
            <w:vAlign w:val="bottom"/>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29"/>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(1,458)</w:t>
            </w:r>
          </w:p>
        </w:tc>
      </w:tr>
      <w:tr>
        <w:trPr>
          <w:trHeight w:val="230"/>
        </w:trPr>
        <w:tc>
          <w:tcPr>
            <w:tcW w:w="7040" w:type="dxa"/>
            <w:vAlign w:val="bottom"/>
          </w:tcPr>
          <w:p>
            <w:pPr>
              <w:ind w:left="500"/>
              <w:spacing w:after="0"/>
              <w:rPr>
                <w:sz w:val="20"/>
                <w:szCs w:val="20"/>
                <w:color w:val="auto"/>
              </w:rPr>
            </w:pPr>
            <w:r>
              <w:rPr>
                <w:rFonts w:ascii="Arial" w:cs="Arial" w:eastAsia="Arial" w:hAnsi="Arial"/>
                <w:sz w:val="18"/>
                <w:szCs w:val="18"/>
                <w:color w:val="auto"/>
              </w:rPr>
              <w:t>Unrealized foreign currency</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r>
      <w:tr>
        <w:trPr>
          <w:trHeight w:val="229"/>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 tax credit receivable</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(2,423)</w:t>
            </w:r>
          </w:p>
        </w:tc>
      </w:tr>
      <w:tr>
        <w:trPr>
          <w:trHeight w:val="229"/>
        </w:trPr>
        <w:tc>
          <w:tcPr>
            <w:tcW w:w="7040" w:type="dxa"/>
            <w:vAlign w:val="bottom"/>
          </w:tcPr>
          <w:p>
            <w:pPr>
              <w:ind w:left="500"/>
              <w:spacing w:after="0"/>
              <w:rPr>
                <w:sz w:val="20"/>
                <w:szCs w:val="20"/>
                <w:color w:val="auto"/>
              </w:rPr>
            </w:pPr>
            <w:r>
              <w:rPr>
                <w:rFonts w:ascii="Arial" w:cs="Arial" w:eastAsia="Arial" w:hAnsi="Arial"/>
                <w:sz w:val="18"/>
                <w:szCs w:val="18"/>
                <w:color w:val="auto"/>
              </w:rPr>
              <w:t>Prepaid expenses, other current assets and other assets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(1,222)</w:t>
            </w:r>
          </w:p>
        </w:tc>
      </w:tr>
      <w:tr>
        <w:trPr>
          <w:trHeight w:val="230"/>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leases, right-of-use assets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ind w:left="500"/>
              <w:spacing w:after="0"/>
              <w:rPr>
                <w:sz w:val="20"/>
                <w:szCs w:val="20"/>
                <w:color w:val="auto"/>
              </w:rPr>
            </w:pPr>
            <w:r>
              <w:rPr>
                <w:rFonts w:ascii="Arial" w:cs="Arial" w:eastAsia="Arial" w:hAnsi="Arial"/>
                <w:sz w:val="18"/>
                <w:szCs w:val="18"/>
                <w:color w:val="auto"/>
              </w:rPr>
              <w:t>Accounts payable, accrued expenses and other current liabilities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(16,166)</w:t>
            </w:r>
          </w:p>
        </w:tc>
      </w:tr>
      <w:tr>
        <w:trPr>
          <w:trHeight w:val="229"/>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(6,010)</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(91,701)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221,538</w:t>
            </w: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(242,315)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(76,203)</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construction deposit</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Receipt of funds from construction deposit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intangible assets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(2,551)</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modification of credit facility, net of debt issuance costs paid</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Proceeds from employee equity plans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shares as part of collaboration agreement</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Proceeds from the issuance of ordinary shares in private placement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placement agent fees and offering costs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(6,355)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FF0FC"/>
            </w:tcBorders>
          </w:tcPr>
          <w:p>
            <w:pPr>
              <w:spacing w:after="0"/>
              <w:rPr>
                <w:sz w:val="19"/>
                <w:szCs w:val="19"/>
                <w:color w:val="auto"/>
              </w:rPr>
            </w:pPr>
          </w:p>
        </w:tc>
      </w:tr>
      <w:tr>
        <w:trPr>
          <w:trHeight w:val="20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cash equivalents, and</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(941)</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23,317</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45,427</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operating, investing and financing activities</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Property, equipment and intangibles in accounts payable and accrued expenses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17,486</w:t>
            </w: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Shares issued as part of license agreement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Cash paid for taxes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FF0FC"/>
          </w:tcPr>
          <w:p>
            <w:pPr>
              <w:spacing w:after="0"/>
              <w:rPr>
                <w:sz w:val="19"/>
                <w:szCs w:val="19"/>
                <w:color w:val="auto"/>
              </w:rPr>
            </w:pPr>
          </w:p>
        </w:tc>
      </w:tr>
      <w:tr>
        <w:trPr>
          <w:trHeight w:val="256"/>
        </w:trPr>
        <w:tc>
          <w:tcPr>
            <w:tcW w:w="9520" w:type="dxa"/>
            <w:vAlign w:val="bottom"/>
            <w:gridSpan w:val="5"/>
          </w:tcPr>
          <w:p>
            <w:pPr>
              <w:ind w:left="2080"/>
              <w:spacing w:after="0"/>
              <w:rPr>
                <w:sz w:val="20"/>
                <w:szCs w:val="20"/>
                <w:color w:val="auto"/>
              </w:rPr>
            </w:pPr>
            <w:r>
              <w:rPr>
                <w:rFonts w:ascii="Arial" w:cs="Arial" w:eastAsia="Arial" w:hAnsi="Arial"/>
                <w:sz w:val="18"/>
                <w:szCs w:val="18"/>
                <w:color w:val="auto"/>
                <w:w w:val="93"/>
              </w:rPr>
              <w:t>The accompanying notes are an integral part of these condensed consolidated financial statements.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ORCHARD THERAPEUTICS PLC</w:t>
      </w:r>
    </w:p>
    <w:p>
      <w:pPr>
        <w:spacing w:after="0" w:line="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Condensed Consolidated Statements Shareholders’ Equity</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 thousands, except share and per share amounts); (unaudited)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480"/>
              <w:spacing w:after="0" w:line="122"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Ordinary Shares</w:t>
            </w: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378"/>
              <w:spacing w:after="0"/>
              <w:rPr>
                <w:sz w:val="20"/>
                <w:szCs w:val="20"/>
                <w:color w:val="auto"/>
              </w:rPr>
            </w:pPr>
            <w:r>
              <w:rPr>
                <w:rFonts w:ascii="Arial" w:cs="Arial" w:eastAsia="Arial" w:hAnsi="Arial"/>
                <w:sz w:val="11"/>
                <w:szCs w:val="11"/>
                <w:b w:val="1"/>
                <w:bCs w:val="1"/>
                <w:color w:val="auto"/>
                <w:w w:val="95"/>
              </w:rPr>
              <w:t>Accumulated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720" w:type="dxa"/>
            <w:vAlign w:val="bottom"/>
          </w:tcPr>
          <w:p>
            <w:pPr>
              <w:jc w:val="right"/>
              <w:ind w:right="257"/>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 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538"/>
              <w:spacing w:after="0"/>
              <w:rPr>
                <w:sz w:val="20"/>
                <w:szCs w:val="20"/>
                <w:color w:val="auto"/>
              </w:rPr>
            </w:pPr>
            <w:r>
              <w:rPr>
                <w:rFonts w:ascii="Arial" w:cs="Arial" w:eastAsia="Arial" w:hAnsi="Arial"/>
                <w:sz w:val="11"/>
                <w:szCs w:val="11"/>
                <w:b w:val="1"/>
                <w:bCs w:val="1"/>
                <w:color w:val="auto"/>
              </w:rPr>
              <w:t>Deficit</w:t>
            </w:r>
          </w:p>
        </w:tc>
        <w:tc>
          <w:tcPr>
            <w:tcW w:w="240" w:type="dxa"/>
            <w:vAlign w:val="bottom"/>
          </w:tcPr>
          <w:p>
            <w:pPr>
              <w:spacing w:after="0"/>
              <w:rPr>
                <w:sz w:val="11"/>
                <w:szCs w:val="11"/>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39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96,923,729</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12,331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738,481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2,042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(453,661</w:t>
            </w:r>
          </w:p>
        </w:tc>
        <w:tc>
          <w:tcPr>
            <w:tcW w:w="220" w:type="dxa"/>
            <w:vAlign w:val="bottom"/>
            <w:tcBorders>
              <w:top w:val="single" w:sz="8" w:color="CFF0FC"/>
            </w:tcBorders>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299,193</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Share-based compensation expense</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share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230,836</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(1,021)</w:t>
            </w: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3"/>
                <w:szCs w:val="13"/>
                <w:color w:val="auto"/>
              </w:rPr>
              <w:t>(50,569)</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(50,569)</w:t>
            </w:r>
          </w:p>
        </w:tc>
        <w:tc>
          <w:tcPr>
            <w:tcW w:w="0" w:type="dxa"/>
            <w:vAlign w:val="bottom"/>
          </w:tcPr>
          <w:p>
            <w:pPr>
              <w:spacing w:after="0"/>
              <w:rPr>
                <w:sz w:val="1"/>
                <w:szCs w:val="1"/>
                <w:color w:val="auto"/>
              </w:rPr>
            </w:pPr>
          </w:p>
        </w:tc>
      </w:tr>
      <w:tr>
        <w:trPr>
          <w:trHeight w:val="142"/>
        </w:trPr>
        <w:tc>
          <w:tcPr>
            <w:tcW w:w="39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97,154,565</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12,361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749,368</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7,055</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(504,230)</w:t>
            </w: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264,554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ind w:left="260"/>
              <w:spacing w:after="0" w:line="142" w:lineRule="exact"/>
              <w:rPr>
                <w:sz w:val="20"/>
                <w:szCs w:val="20"/>
                <w:color w:val="auto"/>
              </w:rPr>
            </w:pPr>
            <w:r>
              <w:rPr>
                <w:rFonts w:ascii="Arial" w:cs="Arial" w:eastAsia="Arial" w:hAnsi="Arial"/>
                <w:sz w:val="13"/>
                <w:szCs w:val="13"/>
                <w:color w:val="auto"/>
              </w:rPr>
              <w:t>Share-based compensation expense</w:t>
            </w: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6,079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6,079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share options and issuance of ESPP shares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267,761</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Ordinary shares issued as part of license agreements</w:t>
            </w:r>
          </w:p>
        </w:tc>
        <w:tc>
          <w:tcPr>
            <w:tcW w:w="1000" w:type="dxa"/>
            <w:vAlign w:val="bottom"/>
          </w:tcPr>
          <w:p>
            <w:pPr>
              <w:jc w:val="right"/>
              <w:spacing w:after="0"/>
              <w:rPr>
                <w:sz w:val="20"/>
                <w:szCs w:val="20"/>
                <w:color w:val="auto"/>
              </w:rPr>
            </w:pPr>
            <w:r>
              <w:rPr>
                <w:rFonts w:ascii="Arial" w:cs="Arial" w:eastAsia="Arial" w:hAnsi="Arial"/>
                <w:sz w:val="13"/>
                <w:szCs w:val="13"/>
                <w:color w:val="auto"/>
              </w:rPr>
              <w:t>75,413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260"/>
              <w:spacing w:after="0"/>
              <w:rPr>
                <w:sz w:val="20"/>
                <w:szCs w:val="20"/>
                <w:color w:val="auto"/>
              </w:rPr>
            </w:pPr>
            <w:r>
              <w:rPr>
                <w:rFonts w:ascii="Arial" w:cs="Arial" w:eastAsia="Arial" w:hAnsi="Arial"/>
                <w:sz w:val="13"/>
                <w:szCs w:val="13"/>
                <w:color w:val="auto"/>
              </w:rPr>
              <w:t>Unrealized gain on marketable securities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(47,500)</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(47,500)</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97,497,739</w:t>
            </w:r>
          </w:p>
        </w:tc>
        <w:tc>
          <w:tcPr>
            <w:tcW w:w="24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12,405</w:t>
            </w:r>
          </w:p>
        </w:tc>
        <w:tc>
          <w:tcPr>
            <w:tcW w:w="22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757,296</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9,050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(551,730)</w:t>
            </w:r>
          </w:p>
        </w:tc>
        <w:tc>
          <w:tcPr>
            <w:tcW w:w="2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227,021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Share-based compensation expense</w:t>
            </w: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5,663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5,663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Exercise of share options</w:t>
            </w:r>
          </w:p>
        </w:tc>
        <w:tc>
          <w:tcPr>
            <w:tcW w:w="1000" w:type="dxa"/>
            <w:vAlign w:val="bottom"/>
          </w:tcPr>
          <w:p>
            <w:pPr>
              <w:jc w:val="right"/>
              <w:spacing w:after="0"/>
              <w:rPr>
                <w:sz w:val="20"/>
                <w:szCs w:val="20"/>
                <w:color w:val="auto"/>
              </w:rPr>
            </w:pPr>
            <w:r>
              <w:rPr>
                <w:rFonts w:ascii="Arial" w:cs="Arial" w:eastAsia="Arial" w:hAnsi="Arial"/>
                <w:sz w:val="13"/>
                <w:szCs w:val="13"/>
                <w:color w:val="auto"/>
              </w:rPr>
              <w:t>162,032</w:t>
            </w:r>
          </w:p>
        </w:tc>
        <w:tc>
          <w:tcPr>
            <w:tcW w:w="24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3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(5,310)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(5,310)</w:t>
            </w: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(20,290)</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(20,290)</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 at September 30, 2020</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97,659,771</w:t>
            </w:r>
          </w:p>
        </w:tc>
        <w:tc>
          <w:tcPr>
            <w:tcW w:w="24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12,426</w:t>
            </w:r>
          </w:p>
        </w:tc>
        <w:tc>
          <w:tcPr>
            <w:tcW w:w="22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763,229</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3,432</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(572,020)</w:t>
            </w:r>
          </w:p>
        </w:tc>
        <w:tc>
          <w:tcPr>
            <w:tcW w:w="2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207,067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1000" w:type="dxa"/>
            <w:vAlign w:val="bottom"/>
          </w:tcPr>
          <w:p>
            <w:pPr>
              <w:jc w:val="right"/>
              <w:spacing w:after="0"/>
              <w:rPr>
                <w:sz w:val="20"/>
                <w:szCs w:val="20"/>
                <w:color w:val="auto"/>
              </w:rPr>
            </w:pPr>
            <w:r>
              <w:rPr>
                <w:rFonts w:ascii="Arial" w:cs="Arial" w:eastAsia="Arial" w:hAnsi="Arial"/>
                <w:sz w:val="13"/>
                <w:szCs w:val="13"/>
                <w:color w:val="auto"/>
              </w:rPr>
              <w:t>98,283,603</w:t>
            </w:r>
          </w:p>
        </w:tc>
        <w:tc>
          <w:tcPr>
            <w:tcW w:w="24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12,507</w:t>
            </w:r>
          </w:p>
        </w:tc>
        <w:tc>
          <w:tcPr>
            <w:tcW w:w="38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771,194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373</w:t>
            </w:r>
          </w:p>
        </w:tc>
        <w:tc>
          <w:tcPr>
            <w:tcW w:w="140" w:type="dxa"/>
            <w:vAlign w:val="bottom"/>
          </w:tcPr>
          <w:p>
            <w:pPr>
              <w:spacing w:after="0"/>
              <w:rPr>
                <w:sz w:val="12"/>
                <w:szCs w:val="12"/>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3"/>
                <w:szCs w:val="13"/>
                <w:color w:val="auto"/>
              </w:rPr>
              <w:t>(605,640)</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178,434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 expense</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Exercise of share options</w:t>
            </w:r>
          </w:p>
        </w:tc>
        <w:tc>
          <w:tcPr>
            <w:tcW w:w="1000" w:type="dxa"/>
            <w:vAlign w:val="bottom"/>
          </w:tcPr>
          <w:p>
            <w:pPr>
              <w:jc w:val="right"/>
              <w:spacing w:after="0"/>
              <w:rPr>
                <w:sz w:val="20"/>
                <w:szCs w:val="20"/>
                <w:color w:val="auto"/>
              </w:rPr>
            </w:pPr>
            <w:r>
              <w:rPr>
                <w:rFonts w:ascii="Arial" w:cs="Arial" w:eastAsia="Arial" w:hAnsi="Arial"/>
                <w:sz w:val="13"/>
                <w:szCs w:val="13"/>
                <w:color w:val="auto"/>
              </w:rPr>
              <w:t>1,319,493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9"/>
              </w:rPr>
              <w:t>Vesting of restricted share units, net of shares withheld for taxes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45,746</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34"/>
        </w:trPr>
        <w:tc>
          <w:tcPr>
            <w:tcW w:w="3960" w:type="dxa"/>
            <w:vAlign w:val="bottom"/>
          </w:tcPr>
          <w:p>
            <w:pPr>
              <w:ind w:left="260"/>
              <w:spacing w:after="0" w:line="134" w:lineRule="exact"/>
              <w:rPr>
                <w:sz w:val="20"/>
                <w:szCs w:val="20"/>
                <w:color w:val="auto"/>
              </w:rPr>
            </w:pPr>
            <w:r>
              <w:rPr>
                <w:rFonts w:ascii="Arial" w:cs="Arial" w:eastAsia="Arial" w:hAnsi="Arial"/>
                <w:sz w:val="13"/>
                <w:szCs w:val="13"/>
                <w:color w:val="auto"/>
                <w:w w:val="90"/>
              </w:rPr>
              <w:t>Sale of voting and non-voting ordinary shares, net of issuance costs of</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24,115,755</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3,310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140,401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143,711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vMerge w:val="restart"/>
          </w:tcPr>
          <w:p>
            <w:pPr>
              <w:ind w:left="260"/>
              <w:spacing w:after="0"/>
              <w:rPr>
                <w:sz w:val="20"/>
                <w:szCs w:val="20"/>
                <w:color w:val="auto"/>
              </w:rPr>
            </w:pPr>
            <w:r>
              <w:rPr>
                <w:rFonts w:ascii="Arial" w:cs="Arial" w:eastAsia="Arial" w:hAnsi="Arial"/>
                <w:sz w:val="13"/>
                <w:szCs w:val="13"/>
                <w:color w:val="auto"/>
              </w:rPr>
              <w:t>$6,289</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9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(35,182)</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(35,182)</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123,764,597</w:t>
            </w:r>
          </w:p>
        </w:tc>
        <w:tc>
          <w:tcPr>
            <w:tcW w:w="24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15,995</w:t>
            </w:r>
          </w:p>
        </w:tc>
        <w:tc>
          <w:tcPr>
            <w:tcW w:w="22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920,211</w:t>
            </w:r>
          </w:p>
        </w:tc>
        <w:tc>
          <w:tcPr>
            <w:tcW w:w="2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(640,822)</w:t>
            </w:r>
          </w:p>
        </w:tc>
        <w:tc>
          <w:tcPr>
            <w:tcW w:w="2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295,580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Share-based compensation expense</w:t>
            </w: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5,541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5,541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260"/>
              <w:spacing w:after="0"/>
              <w:rPr>
                <w:sz w:val="20"/>
                <w:szCs w:val="20"/>
                <w:color w:val="auto"/>
              </w:rPr>
            </w:pPr>
            <w:r>
              <w:rPr>
                <w:rFonts w:ascii="Arial" w:cs="Arial" w:eastAsia="Arial" w:hAnsi="Arial"/>
                <w:sz w:val="13"/>
                <w:szCs w:val="13"/>
                <w:color w:val="auto"/>
              </w:rPr>
              <w:t>Exercise of share options and issuance of ESPP shares</w:t>
            </w:r>
          </w:p>
        </w:tc>
        <w:tc>
          <w:tcPr>
            <w:tcW w:w="1000" w:type="dxa"/>
            <w:vAlign w:val="bottom"/>
          </w:tcPr>
          <w:p>
            <w:pPr>
              <w:jc w:val="right"/>
              <w:spacing w:after="0"/>
              <w:rPr>
                <w:sz w:val="20"/>
                <w:szCs w:val="20"/>
                <w:color w:val="auto"/>
              </w:rPr>
            </w:pPr>
            <w:r>
              <w:rPr>
                <w:rFonts w:ascii="Arial" w:cs="Arial" w:eastAsia="Arial" w:hAnsi="Arial"/>
                <w:sz w:val="13"/>
                <w:szCs w:val="13"/>
                <w:color w:val="auto"/>
              </w:rPr>
              <w:t>118,500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2"/>
              </w:rPr>
              <w:t>Issuance costs associated with sale of voting and non-voting ordinary</w:t>
            </w:r>
          </w:p>
        </w:tc>
        <w:tc>
          <w:tcPr>
            <w:tcW w:w="12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9"/>
        </w:trPr>
        <w:tc>
          <w:tcPr>
            <w:tcW w:w="3960" w:type="dxa"/>
            <w:vAlign w:val="bottom"/>
            <w:tcBorders>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shares</w:t>
            </w:r>
          </w:p>
        </w:tc>
        <w:tc>
          <w:tcPr>
            <w:tcW w:w="1240" w:type="dxa"/>
            <w:vAlign w:val="bottom"/>
            <w:tcBorders>
              <w:bottom w:val="single" w:sz="8" w:color="CFF0FC"/>
            </w:tcBorders>
            <w:gridSpan w:val="2"/>
            <w:vMerge w:val="continue"/>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gridSpan w:val="2"/>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gridSpan w:val="2"/>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gridSpan w:val="2"/>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9"/>
        </w:trPr>
        <w:tc>
          <w:tcPr>
            <w:tcW w:w="39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3"/>
                <w:szCs w:val="13"/>
                <w:color w:val="auto"/>
              </w:rPr>
              <w:t>(36,609)</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(36,609)</w:t>
            </w:r>
          </w:p>
        </w:tc>
        <w:tc>
          <w:tcPr>
            <w:tcW w:w="0" w:type="dxa"/>
            <w:vAlign w:val="bottom"/>
          </w:tcPr>
          <w:p>
            <w:pPr>
              <w:spacing w:after="0"/>
              <w:rPr>
                <w:sz w:val="1"/>
                <w:szCs w:val="1"/>
                <w:color w:val="auto"/>
              </w:rPr>
            </w:pPr>
          </w:p>
        </w:tc>
      </w:tr>
      <w:tr>
        <w:trPr>
          <w:trHeight w:val="142"/>
        </w:trPr>
        <w:tc>
          <w:tcPr>
            <w:tcW w:w="39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123,883,097</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16,010</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925,981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(186)</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(677,431)</w:t>
            </w: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264,374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ind w:left="260"/>
              <w:spacing w:after="0" w:line="142" w:lineRule="exact"/>
              <w:rPr>
                <w:sz w:val="20"/>
                <w:szCs w:val="20"/>
                <w:color w:val="auto"/>
              </w:rPr>
            </w:pPr>
            <w:r>
              <w:rPr>
                <w:rFonts w:ascii="Arial" w:cs="Arial" w:eastAsia="Arial" w:hAnsi="Arial"/>
                <w:sz w:val="13"/>
                <w:szCs w:val="13"/>
                <w:color w:val="auto"/>
              </w:rPr>
              <w:t>Share-based compensation expense</w:t>
            </w: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5,389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5,389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share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356,217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w w:val="99"/>
              </w:rPr>
              <w:t>Vesting of restricted share units, net of shares withheld for taxes</w:t>
            </w:r>
          </w:p>
        </w:tc>
        <w:tc>
          <w:tcPr>
            <w:tcW w:w="1000" w:type="dxa"/>
            <w:vAlign w:val="bottom"/>
          </w:tcPr>
          <w:p>
            <w:pPr>
              <w:jc w:val="right"/>
              <w:spacing w:after="0"/>
              <w:rPr>
                <w:sz w:val="20"/>
                <w:szCs w:val="20"/>
                <w:color w:val="auto"/>
              </w:rPr>
            </w:pPr>
            <w:r>
              <w:rPr>
                <w:rFonts w:ascii="Arial" w:cs="Arial" w:eastAsia="Arial" w:hAnsi="Arial"/>
                <w:sz w:val="13"/>
                <w:szCs w:val="13"/>
                <w:color w:val="auto"/>
              </w:rPr>
              <w:t>18,901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shares as part of collaboration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1,227,738</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260"/>
              <w:spacing w:after="0"/>
              <w:rPr>
                <w:sz w:val="20"/>
                <w:szCs w:val="20"/>
                <w:color w:val="auto"/>
              </w:rPr>
            </w:pPr>
            <w:r>
              <w:rPr>
                <w:rFonts w:ascii="Arial" w:cs="Arial" w:eastAsia="Arial" w:hAnsi="Arial"/>
                <w:sz w:val="13"/>
                <w:szCs w:val="13"/>
                <w:color w:val="auto"/>
              </w:rPr>
              <w:t>Foreign currency translation</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Unrealized gain on marketable securities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3"/>
                <w:szCs w:val="13"/>
                <w:color w:val="auto"/>
              </w:rPr>
              <w:t>(36,445)</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(36,445)</w:t>
            </w:r>
          </w:p>
        </w:tc>
        <w:tc>
          <w:tcPr>
            <w:tcW w:w="0" w:type="dxa"/>
            <w:vAlign w:val="bottom"/>
          </w:tcPr>
          <w:p>
            <w:pPr>
              <w:spacing w:after="0"/>
              <w:rPr>
                <w:sz w:val="1"/>
                <w:szCs w:val="1"/>
                <w:color w:val="auto"/>
              </w:rPr>
            </w:pPr>
          </w:p>
        </w:tc>
      </w:tr>
      <w:tr>
        <w:trPr>
          <w:trHeight w:val="142"/>
        </w:trPr>
        <w:tc>
          <w:tcPr>
            <w:tcW w:w="39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September 30, 2021</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125,485,953</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16,229</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935,211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3,734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(713,876)</w:t>
            </w: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241,298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ORCHARD THERAPEUTICS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 xml:space="preserve">Orchard Therapeutics plc (the “Company”) is a global gene therapy company dedicated to transforming the lives of people affected by severe diseases through the development of innovative, potentially curative gene therapies. The Company’s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autologous hematopoietic stem cell (“HSC”) gene therapy approach utilizes genetically modified blood stem cells and seeks to correct the underlying cause of disease in a single administration. The Company’s gene therapy product candidate pipeline spans multiple therapeutic areas where the disease burden on children, families and caregivers is immense and current treatment options are limited or do not exist.</w:t>
      </w:r>
    </w:p>
    <w:p>
      <w:pPr>
        <w:spacing w:after="0" w:line="176"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Company is a public limited company incorporated pursuant to the laws of England and Wales. The Company has American Depositary Shares (“ADSs”) registered with the U.S. Securities and Exchange Commission (the “SEC”) and has been listed on the Nasdaq Global Select Market since October 31, 2018. The Company’s ADSs each represent one ordinary share of the Company.</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2020, the Company received standard marketing authorization from the European Commission for Libmeldy™ (atidarsagene autotemcel), for the treatment of early onset metachromatic leukodystrophy (“MLD”), characterized by biallelic mutations in the </w:t>
      </w:r>
      <w:r>
        <w:rPr>
          <w:rFonts w:ascii="Arial" w:cs="Arial" w:eastAsia="Arial" w:hAnsi="Arial"/>
          <w:sz w:val="18"/>
          <w:szCs w:val="18"/>
          <w:i w:val="1"/>
          <w:iCs w:val="1"/>
          <w:color w:val="auto"/>
        </w:rPr>
        <w:t>arylsulfatase-A</w:t>
      </w:r>
      <w:r>
        <w:rPr>
          <w:rFonts w:ascii="Arial" w:cs="Arial" w:eastAsia="Arial" w:hAnsi="Arial"/>
          <w:sz w:val="18"/>
          <w:szCs w:val="18"/>
          <w:color w:val="auto"/>
        </w:rPr>
        <w:t xml:space="preserve"> (</w:t>
      </w:r>
      <w:r>
        <w:rPr>
          <w:rFonts w:ascii="Arial" w:cs="Arial" w:eastAsia="Arial" w:hAnsi="Arial"/>
          <w:sz w:val="18"/>
          <w:szCs w:val="18"/>
          <w:i w:val="1"/>
          <w:iCs w:val="1"/>
          <w:color w:val="auto"/>
        </w:rPr>
        <w:t>ARSA</w:t>
      </w:r>
      <w:r>
        <w:rPr>
          <w:rFonts w:ascii="Arial" w:cs="Arial" w:eastAsia="Arial" w:hAnsi="Arial"/>
          <w:sz w:val="18"/>
          <w:szCs w:val="18"/>
          <w:color w:val="auto"/>
        </w:rPr>
        <w:t>) gene leading to a reduction of the ARSA enzymatic activity in children with (i) late infantile or early juvenile forms, without clinical manifestations of the disease, or (ii) the early juvenile form, with early clinical manifestations of the disease, who still have the ability to walk independently and before the onset of cognitive decline.</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9, 2021, the Company issued and sold (i) 20,900,321 ordinary shares, nominal value £0.10 per share, at a purchase price of $6.22 per share (the “Purchase Price”), which was the closing sale price of the Company’s ADSs on the Nasdaq Global Select Market on February 4, 2021, and (ii) 3,215,434 non-voting ordinary shares, nominal value £0.10 per share, at the Purchase Price (together (i) and (ii) the “Private Placement”). The Private Placement resulted in net proceeds to the Company of $143.6 million after deducting placement agent fees of $6.0 million and other issuance costs of $0.4 million. The ordinary shares and non-voting ordinary shares were sold pursuant to a securities purchase agreement entered into between the Company and the purchasers named therein on February 4, 2021.</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business is subject to risks and uncertainties common to development-stage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biotechnology companies. In addition, the Company is dependent upon the services of its employees, consultants and service providers. Even if the Company’s product development efforts are successful in gaining regulatory approval, it is uncertain when, if ever, the Company will realize significant revenue from product sales.</w:t>
      </w:r>
    </w:p>
    <w:p>
      <w:pPr>
        <w:spacing w:after="0" w:line="19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Through September 30, 2021, the Company has financed its operations primarily with proceeds from the sale of equity securities, including American Depositary Shares (“ADSs”) in the Company’s initial public offering (“IPO”) and follow-on offering, ordinary shares in the private placement, and convertible preferred shares. The Company has also financed operations through proceeds from the Company’s senior term facilities agreement (the “Amended Credit Facility”) with MidCap Financial (Ireland) Limited (“MidCap Financial”), research grants from the California Institute of Regenerative Medicine (“CIRM”), upfront payments from the Company’s collaboration agreement and share purchase agreement with Pharming Group N.V., and proceeds associated two UK research and development tax relief programs, the Small and Medium-sized Enterprises research and development tax credit (“SME”) program and the Research and Development Expenditure (“RDEC”) program. The Company has incurred recurring losses since its inception. As of September 30, 2021, the Company had an accumulated deficit of $713.9 million. The Company expects to continue to generate operating losses for the foreseeable future. The Company expects that its cash, cash equivalents, and marketable securities on hand as of September 30, 2021 of $254.1 million, will be sufficient to fund its operations and capital expenditure requirements through at least the next twelve months.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will seek additional funding through private or public equity financings, debt financings, collaborations, strategic alliances and marketing, distribution or licensing arrangements. The Company may not be able to obtain financing on acceptable terms, or at all, and the Company may not be able to enter into collaborations or other arrangements. The terms of any financing may adversely affect the holdings or the rights of the Company's shareholders. The future viability of the Company is dependent on its ability to raise additional capital to finance its operations and develop and commercialize its products. 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680"/>
        <w:spacing w:after="0" w:line="277" w:lineRule="auto"/>
        <w:rPr>
          <w:sz w:val="20"/>
          <w:szCs w:val="20"/>
          <w:color w:val="auto"/>
        </w:rPr>
      </w:pPr>
      <w:r>
        <w:rPr>
          <w:rFonts w:ascii="Arial" w:cs="Arial" w:eastAsia="Arial" w:hAnsi="Arial"/>
          <w:sz w:val="18"/>
          <w:szCs w:val="18"/>
          <w:color w:val="auto"/>
        </w:rPr>
        <w:t>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condensed consolidated interim financial statements of the Company are unaudited and have been prepared in accordance with generally accepted accounting principles in the United States of America (“U.S. GAAP”) for interim financial reporting and in accordance with Regulation S-X, Rule 10-01. Accordingly, they do not include all of the information and footnotes required by U.S. GAAP for complete financial statements. Any reference in these notes to applicable guidance is meant to refer to the authoritative U.S. GAAP as found in the Accounting Standards Codification (“ASC”), and Accounting Standards Update (“ASU”), of the Financial Accounting Standards Board (“FASB”). All intercompany accounts and transactions between the Company and its subsidiaries have been eliminated upon consolidation.</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unaudited condensed consolidated interim financial statements should be read in conjunction with the audited consolidated financial statements and accompanying notes included in the Company’s Annual Report on Form 10-K filed with the SEC on March 2, 2021 (the “Annual Report”). The condensed consolidated balance sheet as of December 31, 2020 was derived from audited consolidated financial statements included in the Company’s Annual Report but does not include all disclosures required by U.S. GAAP.</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consisting only of normal recurring adjustments, which are, in the opinion of the Company’s management, necessary to fairly state the results of the interim period. The interim results are not necessarily indicative of results to be expected for the full year.</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Amounts reported are based in thousands, except percentages, per share amounts or as otherwise noted. As a result, certain totals may not sum due to rounding.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periods. Significant estimates and assumptions reflected in these condensed consolidated financial statements include, but are not limited to, the accrual for research and development expenses, the research and development tax credit receivable, share-based compensation, collaboration agreement milestones, operating lease assets and liabilities, and income taxes. Estimates are periodically reviewed in light of changes in circumstances, facts and experience. The future developments of the COVID-19 pandemic may also directly or indirectly impact the Company’s business, including impacts due to quarantines, border closures, increased border controls, travel restrictions, shelter-in-place orders and shutdowns, business closures, cancellations of public gatherings and other measures.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statements of the Company’s subsidiaries with functional currencies other than the U.S. Dollar are translated into U.S. Dollars using period-end exchange rates for assets and liabilities, historical exchange rates for shareholders’ equity and weighted average exchange rates for operating results. Translation gains and losses are included in accumulated other comprehensive income (loss) in shareholders’ equity. Foreign currency transaction gains and losses are included in other income (expense), net in the results of operations. The Company recorded realized and unrealized foreign currency transaction losses of $4.0 million and gains of $5.9 million for the three months ended September 30, 2021 and 2020, respectively. The Company recorded realized and unrealized foreign currency transaction losses of $2.0 million and $1.5 million for the nine months ended 30, 2021 and 2020, respectively. These amounts are included in other income (expense) in the condensed consolidated statements of operations and comprehensive loss.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or other observable inputs. Unrealized gains and losses are recorded as a component of other comprehensive income (loss). Realized gains and losses are determined on a specific identification basis and are included in other income (loss). Amortization and accretion of discounts and premiums is also recorded in other income (loss).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When the fair value is below the amortized cost of the asset, an estimate of expected credit losses is made and is limited to the amount by which fair value is less than amortized cost. The credit-related impairment amount is recognized in net income; the remaining impairment amount and unrealized gains are reported as a component of accumulated other comprehensive income (loss) in shareholders’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the statement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research and development tax credit</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a company that carries out research and development activities, the Company is able to submit tax credit claims from two UK research and development tax relief programs, the SME program and the RDEC program depending on eligibility. Qualifying expenditures largely comprise employment costs for research staff, consumables and certain internal overhead costs incurred as part of research projects for which the Company does not receive income.</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Each reporting period, management evaluates which tax relief programs the Company is expected to be eligible for and records a reduction to research and development expense for the portion of the expense that it expects to qualify under the programs, that it plans to submit a claim for, and it has reasonable assurance that the amount will ultimately be realized. Based on criteria established by HM Revenue and Customs (“HMRC”), management of the Company expects a proportion of expenditures being undertaken in relation to its pipeline research, clinical trials management and manufacturing development activities to be eligible for the research and development tax relief programs for the year ended December 31, 2021. The Company has qualified under the more favorable SME regime for the year ended December 31, 2020 and expects to qualify under the SME regime for the year ending December 31, 2021.</w:t>
      </w:r>
    </w:p>
    <w:p>
      <w:pPr>
        <w:spacing w:after="0" w:line="16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RDEC and SME credits are not dependent on the Company generating future taxable income or on the ongoing tax status or tax position of the Company. The Company has assessed its research and development activities and expenditures to determine whether the nature of the activities and expenditures will qualify for credit under the tax relief programs and whether the claims will ultimately be realized based on the allowable reimbursable expense criteria established by the UK government which are subject to interpretation. At each period end, the Company estimates the reimbursement available to the Company based on available information at the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right="240"/>
        <w:spacing w:after="0" w:line="257" w:lineRule="auto"/>
        <w:rPr>
          <w:sz w:val="20"/>
          <w:szCs w:val="20"/>
          <w:color w:val="auto"/>
        </w:rPr>
      </w:pPr>
      <w:r>
        <w:rPr>
          <w:rFonts w:ascii="Arial" w:cs="Arial" w:eastAsia="Arial" w:hAnsi="Arial"/>
          <w:sz w:val="18"/>
          <w:szCs w:val="18"/>
          <w:color w:val="auto"/>
        </w:rPr>
        <w:t>The Company recognizes credits from the research and development incentives when the relevant expenditure has been incurred and there is reasonable assurance that the reimbursement will be received. Such credits are accounted for as reductions in research and development expense in the condensed consolidated statement of operations and comprehensive loss. The following table below outlines the changes to the research and development tax credit receivable, including amounts recognized as an offset to research and development expense during the period, for the periods ended September 30,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Pr>
          <w:p>
            <w:pPr>
              <w:spacing w:after="0"/>
              <w:rPr>
                <w:sz w:val="14"/>
                <w:szCs w:val="14"/>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6"/>
        </w:trPr>
        <w:tc>
          <w:tcPr>
            <w:tcW w:w="5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28,644</w:t>
            </w:r>
          </w:p>
        </w:tc>
        <w:tc>
          <w:tcPr>
            <w:tcW w:w="12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Recognition of credit claims as offset to research and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development expense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17,169</w:t>
            </w:r>
          </w:p>
        </w:tc>
        <w:tc>
          <w:tcPr>
            <w:tcW w:w="12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Receipt of credit claims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(13,558)</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(14,573)</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(753)</w:t>
            </w: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of September 30, 2021, the Company’s tax incentive receivable from the U.K. government was $30.2 million, of which $18.3 million was classified as current and $11.9 million was classified as noncurrent. As of December 31, 2020, the Company’s tax incentive receivable from the U.K. government was $17.3 million, all of which was classified as current.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construction deposits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and cash equivalents that are restricted as to withdrawal or use under the terms of certain contractual agreements are recorded as restricted cash on the Company’s condensed consolidated balance sheet. The Company has an outstanding letter of credit for $3.0 million associated with a lease and is required to hold this amount in a standalone bank account, as of September 30, 2021 and December 31, 2020. The Company is also contractually required to maintain cash collateral accounts associated with corporate credit cards and other leases in the amount of $1.3 million at September 30, 2021 and December 31, 2020.</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includes the restricted cash balance in cash and cash equivalents when reconciling beginning-of-period and end-of-period total amounts shown on the condensed consolidated statements of cash flows. The following table provides a reconciliation of cash, cash equivalents, and restricted cash reported in the condensed consolidated balance sheet that sum to the total of the amounts reported in the unaudited condensed consolidated statement of cash flows: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39"/>
        </w:trPr>
        <w:tc>
          <w:tcPr>
            <w:tcW w:w="5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55"/>
        </w:trPr>
        <w:tc>
          <w:tcPr>
            <w:tcW w:w="5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4"/>
          </w:tcPr>
          <w:p>
            <w:pPr>
              <w:jc w:val="right"/>
              <w:ind w:right="857"/>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80" w:type="dxa"/>
            <w:vAlign w:val="bottom"/>
            <w:tcBorders>
              <w:bottom w:val="single" w:sz="8" w:color="CFF0FC"/>
            </w:tcBorders>
          </w:tcPr>
          <w:p>
            <w:pPr>
              <w:spacing w:after="0"/>
              <w:rPr>
                <w:sz w:val="19"/>
                <w:szCs w:val="19"/>
                <w:color w:val="auto"/>
              </w:rPr>
            </w:pPr>
          </w:p>
        </w:tc>
      </w:tr>
      <w:tr>
        <w:trPr>
          <w:trHeight w:val="209"/>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cash, cash equivalents and restricted cash shown in</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the statement of cash flows</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78,590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59,401</w:t>
            </w:r>
          </w:p>
        </w:tc>
        <w:tc>
          <w:tcPr>
            <w:tcW w:w="80" w:type="dxa"/>
            <w:vAlign w:val="bottom"/>
            <w:shd w:val="clear" w:color="auto" w:fill="CFF0FC"/>
          </w:tcPr>
          <w:p>
            <w:pPr>
              <w:spacing w:after="0"/>
              <w:rPr>
                <w:sz w:val="20"/>
                <w:szCs w:val="20"/>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has $7.9 million in an escrow account associated with the construction of the Company’s leased facility in Fremont, California, which the Company has ceased construction and build-out, and has subleased the facility to a third-party who intends to perform construction and build-out of the facility. Subject to the terms of the lease and reduction provisions, this escrow amount may be decreased to nil over time upon qualifying construction expenditure, or will be returned in late 2022 to the extent funds are not used. The Company deposited $10.0 million into the account in the first quarter of 2020 and has received $2.1 million in receipts from the escrow funds for work performed to date. Of the $7.9 million remaining in the escrow account, $5.0 million is classified within other prepaid expenses and other current assets and $2.9 million is classified within other assets on the condensed consolidated balance sheet based on the timing of when the Company expects to receive the cash from the escrow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 of accruals and payments of milestones associated with the Company’s approved products, net of accumulated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amortizes its intangible assets using the straight-line method over their estimated economic lives and periodically reviews for impairment.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recognized any impairment charges related to intangible assets to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product sales of Strimvelis are currently distributed exclusively at the San Raffaele Hospital in Milan, Italy. San Raffaele Hospital will purchase and pay for Strimvelis and submit a claim to the payer. The Company’s contracted sales with San Raffaele Hospital contain a single performance obligation and the Company recognizes revenue from product sales when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40"/>
        <w:spacing w:after="0" w:line="272" w:lineRule="auto"/>
        <w:rPr>
          <w:sz w:val="20"/>
          <w:szCs w:val="20"/>
          <w:color w:val="auto"/>
        </w:rPr>
      </w:pPr>
      <w:r>
        <w:rPr>
          <w:rFonts w:ascii="Arial" w:cs="Arial" w:eastAsia="Arial" w:hAnsi="Arial"/>
          <w:sz w:val="17"/>
          <w:szCs w:val="17"/>
          <w:color w:val="auto"/>
        </w:rPr>
        <w:t xml:space="preserve">Company has satisfied its performance obligation by transferring control of Strimvelis to San Raffaele Hospital. Control of the product generally transfers upon the completion of the scheduled Strimvelis treatment. The Company’s product sales represent total net product sales of Strimvelis. The Company evaluated the variable consideration under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there is currently no variable consideration included in the transaction price for Strimvelis. Costs to manufacture and deliver the product and those associated with administering the therapy are included in cost of product sales. As the product is sold in direct relation to a scheduled treatment, the Company estimates that there is limited risk of product return, including the risk of product expiration. During the three months and nine months ended September 30, 2021, the Company had $0.7 million in sales of Strimvelis.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depreciation, third-party license fees, certain milestone payments, and external costs of outside vendors engaged to conduct preclinical and clinical development activities and clinical trials, as well as costs to develop a manufacturing process, perform analytical testing and manufacture clinical trial materials. The Company also includes the costs related to the Company’s collaboration arrangement in research and development expense.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is recognized as an offset to research and development expense on the basis of costs incurred on the research program. Royalties to third parties associated with research grants will be accrued when they become probable.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agreement costs and accruals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entered into various research and development contracts. These agreements are cancelable, and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a number of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measures share-based awards granted to employees, consultants and directors based on the fair value of the shares and options on the date of the grant and recognizes compensation expense for those awards over the requisite service period, which is the vesting period of the respective award. Forfeitures are accounted for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Comprehensive loss is composed of net loss and other comprehensive income (loss). Other comprehensive income (loss) consists of unrealized gains and losses on marketable securities and foreign currency translation.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The Company made an accounting policy election to not record a right-of-use asset or lease liability for leases with a term of one year or less. To date, the Company has not identified any material short-term leases, either individually or in the aggregate.</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Company’s leases do not provide an implicit rate, the Company utilized the appropriate incremental borrowing rate, which is the rate incurred to borrow on a collateralized basis over a similar term an amount equal to the lease payments in a similar economic environment. The Company estimated the incremental borrowing rate based on the Company’s currently outstanding credit facility as inputs to the analysis to calculate a spread, adjusted for factors that reflect the profile of secured borrowing over the expected term of the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20"/>
        <w:spacing w:after="0" w:line="285" w:lineRule="auto"/>
        <w:rPr>
          <w:sz w:val="20"/>
          <w:szCs w:val="20"/>
          <w:color w:val="auto"/>
        </w:rPr>
      </w:pPr>
      <w:r>
        <w:rPr>
          <w:rFonts w:ascii="Arial" w:cs="Arial" w:eastAsia="Arial" w:hAnsi="Arial"/>
          <w:sz w:val="16"/>
          <w:szCs w:val="16"/>
          <w:color w:val="auto"/>
        </w:rPr>
        <w:t>The components of a lease should be split into three categories: lease components (e.g., land, building, etc.), non-lease components (e.g., common area maintenance, utilities, performance of manufacturing services, purchase of inventory, etc.), and non-components (e.g., property taxes, insurance, etc.). Then the fixed contract consideration (including any related to non-components) must be allocated based on fair values to the lease components and non-lease components. Although separation of lease and non-lease components is required, certain practical expedients are available to entities. Entities electing the practical expedient would not separate lease and non-lease components. Rather, they would account for each lease component and the related non-</w:t>
      </w:r>
    </w:p>
    <w:p>
      <w:pPr>
        <w:spacing w:after="0" w:line="2"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lease component together as a single component. The Company has elected not to apply the practical expedient and with respect to its lease of manufacturing space at a contract manufacturing organization, the Company has instead allocated the consideration between the lease and non-lease components of the contract. The Company calculated the fair value of the lease component using financial information readily available as part of its master services arrangement. The remainder of the consideration was allocated to the non-lease components.</w:t>
      </w:r>
    </w:p>
    <w:p>
      <w:pPr>
        <w:spacing w:after="0" w:line="17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Company accounts for sublease income on a straight-line basis over the respective lease period and records an unbilled rent receivable for sublease income incurred but not yet paid. The Company periodically performs a collectability assessment associated with any unbilled rent receivables. The Company recognizes the sublease income as a reduction to the related operating expense associated with the head lease.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Long-lived assets consist of property and equipment and operating lease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as determined in accordance with the related accounting literature.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Strimvelis loss provision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GSK transaction, the Company is required to maintain commercial availability of Strimvelis in the European Union until such time that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alternative gene therapy is available (see Note 12). Strimvelis is not currently expected to generate sufficient cash flows to overcome the costs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maintaining the product and certain regulatory commitments; therefore, the Company initially recorded a liability associated with the loss contract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$18.4 million in 2018. The Company recognizes the amortization of the loss provision on a diminishing balance basis based on the actual net loss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Strimvelis program and the expected future net losses to be generated until such time as Strimvelis is no longer commercially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of the provision is recorded as a credit to research and development expense. The Company has made an estimate of the expected future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associated with Strimvelis and will adjust this estimate as facts and circumstances change regarding the commercial availability and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maintaining and selling Strimvelis. The Company does not update the accrued loss provision for any subsequent adjustment of the future losses, however,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recognizing the amortization of what was originally recorded is adjusted for the updated future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outlines the changes to the Strimvelis loss provision for the periods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372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5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3,735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6,790</w:t>
            </w:r>
          </w:p>
        </w:tc>
        <w:tc>
          <w:tcPr>
            <w:tcW w:w="12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Amortization of loss provision</w:t>
            </w:r>
          </w:p>
        </w:tc>
        <w:tc>
          <w:tcPr>
            <w:tcW w:w="1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3,546</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2021, $0.6 million is classified as current, and $2.9 million is classified as non-current. As of December 31, 2020, $0.9 million was classified as current, and $3.6 million was classified as non-current.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Basic net loss per share is computed by dividing the net loss by the weighted average number of voting and non-voting ordinary shares outstanding for the period. Diluted net loss is computed by adjusting net loss based on the potential impact of dilutive securities. Diluted net loss per share is computed by dividing the diluted net loss by the weighted average number of ordinary shares outstanding for the period, including potential dilutive ordinary shares. For purpose of this calculation, outstanding options and unvested restricted shares are considered potential dilutive ordinary shares. Since the Company was in a loss position for all periods presented, basic net loss per share is the same as diluted net loss per share for all periods as the inclusion of all potential ordinary share equivalents outstanding would have been anti-dilutive.</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securities, presented based on amounts outstanding at each period end, are considered to be ordinary share equivalents, but were not included in the computation of diluted net loss per ordinary share because to do so would have been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6"/>
              </w:rPr>
              <w:t>As of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14,659,035</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11,980,433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performance-based restricted share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663,500</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867,574</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15,322,535</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12,848,007</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xml:space="preserve">, which removes certain exceptions to the general principles in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improves consistent application of and simplifies GAAP for other areas of Topic 740 by clarifying and amending existing guidance. This ASU was adopted by the Company beginning January 1, 2021 and did not have a material impact on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and marketable securities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tables present information about the Company’s financial assets that have been measured at fair value as of September 30, 2021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months and nine months ended September 30, 2021, there were no transfers between Level 1 and Level 2 financial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cash equivalents and marketable securities as of September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9"/>
          </w:tcPr>
          <w:p>
            <w:pPr>
              <w:jc w:val="right"/>
              <w:ind w:right="87"/>
              <w:spacing w:after="0"/>
              <w:rPr>
                <w:sz w:val="20"/>
                <w:szCs w:val="20"/>
                <w:color w:val="auto"/>
              </w:rPr>
            </w:pPr>
            <w:r>
              <w:rPr>
                <w:rFonts w:ascii="Arial" w:cs="Arial" w:eastAsia="Arial" w:hAnsi="Arial"/>
                <w:sz w:val="14"/>
                <w:szCs w:val="14"/>
                <w:b w:val="1"/>
                <w:bCs w:val="1"/>
                <w:color w:val="auto"/>
              </w:rPr>
              <w:t>Fair Value Measurements at September 30, 2021 Using:</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24,014</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24,014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equivalents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24,014</w:t>
            </w:r>
          </w:p>
        </w:tc>
        <w:tc>
          <w:tcPr>
            <w:tcW w:w="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Marketable securities</w:t>
            </w: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102,877</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179,819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24,014</w:t>
            </w: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203,919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60" w:type="dxa"/>
            <w:vAlign w:val="bottom"/>
          </w:tcPr>
          <w:p>
            <w:pPr>
              <w:spacing w:after="0"/>
              <w:rPr>
                <w:sz w:val="24"/>
                <w:szCs w:val="24"/>
                <w:color w:val="auto"/>
              </w:rPr>
            </w:pP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the Company’s cash equivalents and marketable securities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4"/>
                <w:szCs w:val="14"/>
                <w:b w:val="1"/>
                <w:bCs w:val="1"/>
                <w:color w:val="auto"/>
              </w:rPr>
              <w:t>Fair Value Measurements at December 31, 2020 Using:</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8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6,650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Marketable securities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136,813</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136,813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149,463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carrying amount reflected in the condensed consolidated balance sheets for research and development tax incentive receivable, trade receivables,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as of September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At September 30, 2021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90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Credit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900" w:type="dxa"/>
            <w:vAlign w:val="bottom"/>
          </w:tcPr>
          <w:p>
            <w:pPr>
              <w:jc w:val="center"/>
              <w:ind w:left="61"/>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w w:val="72"/>
              </w:rPr>
              <w:t>(41)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100,052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w w:val="72"/>
              </w:rPr>
              <w:t>(55)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At December 31, 2020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88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Credit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the Company’s available-for-sale debt securities by contractual maturity, as of September 30, 2021 and December 31,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Due in one year</w:t>
            </w:r>
          </w:p>
        </w:tc>
        <w:tc>
          <w:tcPr>
            <w:tcW w:w="3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192,325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three years</w:t>
            </w:r>
          </w:p>
        </w:tc>
        <w:tc>
          <w:tcPr>
            <w:tcW w:w="3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3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203,919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56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1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external 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prepayments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VAT receivable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deposit - current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Non-trade receivables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Lab equipment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5,492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Office and computer equipment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Construction-in-process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(5,562)</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Depreciation expense was $0.5 million and $0.5 million for the three months ended September 30, 2021 and 2020, respectively. Depreciation expense was $1.5 million and $1.6 million for the nine months ended September 30, 2021 and 2020, respectively. During the second quarter of 2020, the Company took impairment charges of $2.3 million related to construction-in-process and $0.8 million related to laboratory equipment (see Note 11).</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At September 30, 2021</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December 31, 2020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milestones</w:t>
            </w: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4,841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4,740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4,841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License milestones consist of capitalized milestone payments or accruals of payments the Company has deemed probable upon receiving regulatory approval of Libmeldy in the EU. The license milestones are being amortized on a straight-line basis over the remaining useful life of the related patents of approximately twelve years. For the three months and nine months ended September 30, 2021, amortization of intangible assets totaled $0.1 million. For the three months and nine months ended September 30, 2020, amortization of intangible assets was nil. The effect of foreign currency translation on the net carrying value of intangible assets during 2021 was not material.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the estimated future amortization for intangible assets for the next five years and thereafter: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26"/>
        </w:trPr>
        <w:tc>
          <w:tcPr>
            <w:tcW w:w="62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2021 (October - December)</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2024</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7. Other assets</w:t>
            </w: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2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20" w:type="dxa"/>
            <w:vAlign w:val="bottom"/>
          </w:tcPr>
          <w:p>
            <w:pPr>
              <w:spacing w:after="0"/>
              <w:rPr>
                <w:sz w:val="20"/>
                <w:szCs w:val="20"/>
                <w:color w:val="auto"/>
              </w:rPr>
            </w:pPr>
            <w:r>
              <w:rPr>
                <w:rFonts w:ascii="Arial" w:cs="Arial" w:eastAsia="Arial" w:hAnsi="Arial"/>
                <w:sz w:val="18"/>
                <w:szCs w:val="18"/>
                <w:color w:val="auto"/>
              </w:rPr>
              <w:t>Other assets consist of the following:</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22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left="214"/>
              <w:spacing w:after="0" w:line="155" w:lineRule="exact"/>
              <w:rPr>
                <w:sz w:val="20"/>
                <w:szCs w:val="20"/>
                <w:color w:val="auto"/>
              </w:rPr>
            </w:pPr>
            <w:r>
              <w:rPr>
                <w:rFonts w:ascii="Arial" w:cs="Arial" w:eastAsia="Arial" w:hAnsi="Arial"/>
                <w:sz w:val="14"/>
                <w:szCs w:val="14"/>
                <w:b w:val="1"/>
                <w:bCs w:val="1"/>
                <w:color w:val="auto"/>
                <w:w w:val="89"/>
              </w:rPr>
              <w:t>2021</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Deposits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Deferring financing costs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Construction deposits - long-term</w:t>
            </w:r>
          </w:p>
        </w:tc>
        <w:tc>
          <w:tcPr>
            <w:tcW w:w="15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other assets</w:t>
            </w:r>
          </w:p>
        </w:tc>
        <w:tc>
          <w:tcPr>
            <w:tcW w:w="15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2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6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22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left="254"/>
              <w:spacing w:after="0" w:line="155" w:lineRule="exact"/>
              <w:rPr>
                <w:sz w:val="20"/>
                <w:szCs w:val="20"/>
                <w:color w:val="auto"/>
              </w:rPr>
            </w:pPr>
            <w:r>
              <w:rPr>
                <w:rFonts w:ascii="Arial" w:cs="Arial" w:eastAsia="Arial" w:hAnsi="Arial"/>
                <w:sz w:val="14"/>
                <w:szCs w:val="14"/>
                <w:b w:val="1"/>
                <w:bCs w:val="1"/>
                <w:color w:val="auto"/>
                <w:w w:val="89"/>
              </w:rPr>
              <w:t>2021</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Accrued external research and development expenses</w:t>
            </w:r>
          </w:p>
        </w:tc>
        <w:tc>
          <w:tcPr>
            <w:tcW w:w="152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11,599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Accrued payroll and related expenses, including severance</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10,100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Accrued other</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2,671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Accrued milestone payments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Strimvelis liability - current portion</w:t>
            </w:r>
          </w:p>
        </w:tc>
        <w:tc>
          <w:tcPr>
            <w:tcW w:w="15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552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liabilities</w:t>
            </w:r>
          </w:p>
        </w:tc>
        <w:tc>
          <w:tcPr>
            <w:tcW w:w="152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28,500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May 2019, the Company entered into a senior term facilities agreement, which was amended in April 2020 (the “Original Credit Facility”) with MidCap Financial (Ireland) Limited (“MidCap Financial”), as agent, and additional lenders from time to time (together with MidCap Financial, the “Lenders”), to borrow up to $75.0 million in term loans.</w:t>
      </w:r>
    </w:p>
    <w:p>
      <w:pPr>
        <w:spacing w:after="0" w:line="7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May 2021, the Company amended and restated the Original Credit Facility (the “Amended Credit Facility”). Under the Amended Credit Facility, the Lenders agreed to make term loans available to the Company in the aggregate amount of $100.0 million, including increasing the principal on the initial term loan to $33.0 million, from $25.0 million. To date, the Company has borrowed $33.0 million under the amended initial term loan. The remaining $67.0 million under the Amended Credit Facility may be drawn down in the form of a second and third term loan, the second term loan being a</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$33.0 million term loan available no earlier than July 1, 2022 and no later than July 1, 2023 upon certain regulatory approvals and evidence of the Company having $100 million in cash and cash equivalent investments; and the third term loan being a $34.0 million term loan available no earlier than July 1, 2023 and no later than July 1, 2024 upon evidence of the Company having $100 million in cash and cash equivalent investments and attaining a pre-specified trailing 12-month revenue target.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ind w:right="20"/>
        <w:spacing w:after="0" w:line="269" w:lineRule="auto"/>
        <w:rPr>
          <w:sz w:val="20"/>
          <w:szCs w:val="20"/>
          <w:color w:val="auto"/>
        </w:rPr>
      </w:pPr>
      <w:r>
        <w:rPr>
          <w:rFonts w:ascii="Arial" w:cs="Arial" w:eastAsia="Arial" w:hAnsi="Arial"/>
          <w:sz w:val="17"/>
          <w:szCs w:val="17"/>
          <w:color w:val="auto"/>
        </w:rPr>
        <w:t>Prior to execution of the Amended Credit Facility, each term loan under the Original Credit Facility bore interest at an annual rate equal to 6.0% plus LIBOR. The Company was required to make interest-only payments on the term loan for all payment dates prior to 24 months following the date of the Original Credit Facility, unless the third tranche was drawn, in which case for all payment dates prior to 36 months following the date of the Original Credit Facility. The term loans prior to the Amended Credit Facility were to begin amortizing on either the 24-month or the 36-month anniversary of the Original Credit Facility (as applicable), with equal monthly payments of principal plus interest to be made by the Borrower to the Lenders in consecutive monthly installments until the loan maturity date. In addition, a final payment of 4.5% was due on the loan maturity date. The Company accrued the final payment amount of $1.1 million associated with the first term loan of the Original Credit Facility, to outstanding debt by charges to interest expense using the effective-interest method from the date of issuance through the date of the Amended Credit Facility. Upon execution of the Amended Credit Facility, the Company was required to make a payment of $0.5 million for the accrued final payment associated with the Original Credit Facility, which was netted against proceeds from the additional initial term loan.</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term loan under the Amended Credit Facility bears interest at an annual rate equal to 5.95% plus LIBOR. The Company is required to make interest-only payments on the term loan for 18 months following the date of the Amended Credit Facility, unless the Company is eligible for the second tranche, in which case the Company may elect to make interest-only payments for 30 months following the date of the Amended Credit Facility. The term loans under to the Amended Credit Facility begin amortizing on either the 18-month or the 30-month anniversary of the Amended Credit Facility (as applicable), with equal monthly payments of principal plus interest to be made by the Company to the Lenders in consecutive monthly installments until the loan maturity date. In addition, a final payment of 3.5% is due on the loan maturity date. The Company is accruing the final payment amount of $1.2 million associated with the first term loan of the Amended Credit Facility, to outstanding debt by charges to interest expense using the effective-interest method from the date of issuance through the loan maturity date.</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Amended Credit Facility includes affirmative and negative covenants. The affirmative covenants include, among others, covenants requiring the Company to maintain their legal existence and governmental approvals, deliver certain financial reports, maintain insurance coverage, maintain property, pay taxes, satisfy certain requirements regarding accounts and comply with laws and regulations. The negative covenants include, among others, restrictions on the Company transferring collateral, incurring additional indebtedness, engaging in mergers or acquisitions, paying dividends or making other distributions, making investments, creating liens, amending material agreements and organizational documents, selling assets, changing the nature of the business and undergoing a change in control, in some cases subject to certain exceptions. The Company is also subject to an ongoing minimum cash financial covenant in which the Company must maintain unrestricted cash in an amount not less than $20.0 million following the utilization of the second term loan and not less than $35.0 million following the utilization of the third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notes payable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Notes payable, net of issuance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32,647</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related to final payment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Notes payable, long term</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32,786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As of September 30, 2021, the estimated future principal payments due are as follows: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(October - December)</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unamortized portion of final payment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Notes payable, long term</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During the three months and nine months ended September 30, 2021, the Company recognized $0.7 million and $1.8 million of interest expense, respectively, related to the term loan. During the three months and nine months ended September 30, 2020 the Company recognized $0.6 million and $1.8 million of interest expense, respectively, related to the term loan. The effective annual interest rate as of September 30, 2021 on the outstanding debt under the term loan was approximately 8.5%.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maintains four equity compensation plans; the Orchard Therapeutics Limited Employee Share Option Plan with Non-Employee Sub-Plan and U.S. Sub-Plan (the “2016 Plan”), the Orchard Therapeutics plc 2018 Share Option and Incentive Plan (the “2018 Plan”), the 2018 Employee Share Purchase Plan (the “ESPP”), and the 2020 Inducement Equity Plan (the “Inducement Plan”). The board of directors determined not to make any further awards under the 2016 plan following the Company’s IPO. As of September 30, 2021, 6,429,862 shares remained available for issuance under the 2018 Plan, 721,500 shares remained available for issuance under the 2020 Inducement Plan, and 1,341,016 shares remained available for issuance under the ESPP.</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under the plans for nine months ended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13,895,643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8,104,206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(1,691,435)</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(2,467,243)</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17,841,171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September 30, 2021</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17,841,171</w:t>
            </w:r>
          </w:p>
        </w:tc>
        <w:tc>
          <w:tcPr>
            <w:tcW w:w="2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2021</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7,334,390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share options granted during the nine months ended September 30, 2021 was $3.19.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share units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issued performance-based restricted share units (“RSUs”) to certain executives and members of its senior management, with vesting linked to the achievement of three specific regulatory and research and development milestones and one market condition based upon the volume weighted-average price (“VWAP”) of the Company’s ADSs for a certain period. Upon achievement of any of the aforementioned milestones, one third of the RSUs will vest, and the award will become fully vested upon achievement of three of the four performance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award</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Company granted 195,000 performance-based RSUs to its Chief Executive Officer in April 2020. The award vests on January 2, 2024 as to 1/3 of the award for each of the first three to occur of four milestones, if each such milestone is achieved by the Company on or before December 31, 2023 and Dr. Gaspar remains continuously employed with the Company through January 2, 2024. The milestones relate to achievement of specific clinical and regulatory milestones.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award activity for the nine months ended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Performance-</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 RSUs</w:t>
            </w: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based RSUs</w:t>
            </w: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RSUs</w:t>
            </w: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December 31,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464,000</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644,000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(89,667)</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(41,667)</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(131,334)</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(51,500)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(114,000)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September 30,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maximum aggregate total fair value of all outstanding RSUs is $3.3 million, which relates to performance-based conditins. The fair value associated with the performance-based conditions will be recognized when achievement of the milestones becomes probable, if at all. The Company determined that, as of June 30, 2021, none of the regulatory and research and development milestones associated with any outstanding RSUs were deemed probable. The amount of compensation cost recognized for the nine months ended September 30, 2021 and 2020 for the market condition associated with the performance-based RSUs was nil million and $0.3 million, respectively. The amount of compensation cost recognized for the three months ended September 30, 2021 and 2020 for the market condition associated with the performance-based RSUs was nil and nil,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recorded as research and development and general and administrative expenses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560" w:type="dxa"/>
            <w:vAlign w:val="bottom"/>
            <w:gridSpan w:val="5"/>
          </w:tcPr>
          <w:p>
            <w:pPr>
              <w:jc w:val="right"/>
              <w:ind w:right="115"/>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576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2,096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FF0FC"/>
            </w:tcBorders>
          </w:tcPr>
          <w:p>
            <w:pPr>
              <w:spacing w:after="0"/>
              <w:rPr>
                <w:sz w:val="19"/>
                <w:szCs w:val="19"/>
                <w:color w:val="auto"/>
              </w:rPr>
            </w:pPr>
          </w:p>
        </w:tc>
      </w:tr>
      <w:tr>
        <w:trPr>
          <w:trHeight w:val="223"/>
        </w:trPr>
        <w:tc>
          <w:tcPr>
            <w:tcW w:w="5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share-based compensation</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5,389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nine months ended September 30, 2020, the Company recognized $2.7 million of share-based compensation expense to selling, general and administrative expense related to the modification of share option awards associated with the separation of the Company’s former Chief Executive Officer.</w:t>
      </w:r>
    </w:p>
    <w:p>
      <w:pPr>
        <w:spacing w:after="0" w:line="16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of September 30, 2021, total unrecognized compensation cost related to unvested share option grants was approximately $45.1 million. This amount is expected to be recognized over a weighted average period of approximately 2.9 years. As of September 30, 2021, the total unrecognized compensation cost related to performance-based RSUs is a maximum of $3.3 million, dependent upon achievement of the aforementioned milestones.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charges</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May 4, 2020, the Company committed to a new strategic plan and restructuring intended to enable the Company to advance its corporate strategy while reducing overall operating expenses, including ceasing construction and build-out of its Fremont, California manufacturing facility, closing its office in Menlo Park, California, reducing its workforce by approximately 25% across the Company, eliminating a number of future positions expected to be recruited in 2020 and 2021, reducing its investment in the future development for certain programs, and other cost-saving measures (collectively, the “Restructuring”). The workforce reductions took place during the second and third quarters of 2020.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restructuring charges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Accrued restructuring and severance costs are included in accrued expenses and other current liabilities in the condensed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2020 fiscal year is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360" w:type="dxa"/>
            <w:vAlign w:val="bottom"/>
          </w:tcPr>
          <w:p>
            <w:pPr>
              <w:spacing w:after="0"/>
              <w:rPr>
                <w:sz w:val="14"/>
                <w:szCs w:val="14"/>
                <w:color w:val="auto"/>
              </w:rPr>
            </w:pPr>
          </w:p>
        </w:tc>
        <w:tc>
          <w:tcPr>
            <w:tcW w:w="182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beginning of period</w:t>
            </w:r>
          </w:p>
        </w:tc>
        <w:tc>
          <w:tcPr>
            <w:tcW w:w="1820" w:type="dxa"/>
            <w:vAlign w:val="bottom"/>
            <w:tcBorders>
              <w:top w:val="single" w:sz="8" w:color="auto"/>
            </w:tcBorders>
            <w:shd w:val="clear" w:color="auto" w:fill="CFF0FC"/>
          </w:tcPr>
          <w:p>
            <w:pPr>
              <w:jc w:val="right"/>
              <w:ind w:right="16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Charged to expense</w:t>
            </w:r>
          </w:p>
        </w:tc>
        <w:tc>
          <w:tcPr>
            <w:tcW w:w="18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Payments made</w:t>
            </w:r>
          </w:p>
        </w:tc>
        <w:tc>
          <w:tcPr>
            <w:tcW w:w="1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(1,254)</w:t>
            </w: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1820" w:type="dxa"/>
            <w:vAlign w:val="bottom"/>
            <w:tcBorders>
              <w:top w:val="single" w:sz="8" w:color="auto"/>
              <w:bottom w:val="single" w:sz="8" w:color="auto"/>
            </w:tcBorders>
          </w:tcPr>
          <w:p>
            <w:pPr>
              <w:jc w:val="right"/>
              <w:ind w:right="16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nine months ended September 30, 2021, the Company had no restructuring charges. During the nine months ended September 30, 2021 and 2020, nil and $1.1 million, respectively, of the employee termination benefits has been classified on the condensed consolidated statement of operations as research and development expense and nil and $0.5 million, respectively, has been classified as selling, general, and administrative expense.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3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During the three months and nine months ended September 30, 2021, the Company had no non-cash restructuring charges. During the three months and nine months ended September 30, 2020, the Company took the following non-cash charges to research and development expense associated with the impairment of construction-in-process associated with the Fremont manufacturing facility, partial impairment of the right-of-use asset for the Fremont manufacturing facility lease (the “Fremont ROU asset”), and a write-down of laboratory equipment from the Company’s Menlo Park, CA facility: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2"/>
          </w:tcPr>
          <w:p>
            <w:pPr>
              <w:ind w:left="320"/>
              <w:spacing w:after="0"/>
              <w:rPr>
                <w:sz w:val="20"/>
                <w:szCs w:val="20"/>
                <w:color w:val="auto"/>
              </w:rPr>
            </w:pPr>
            <w:r>
              <w:rPr>
                <w:rFonts w:ascii="Arial" w:cs="Arial" w:eastAsia="Arial" w:hAnsi="Arial"/>
                <w:sz w:val="14"/>
                <w:szCs w:val="14"/>
                <w:b w:val="1"/>
                <w:bCs w:val="1"/>
                <w:color w:val="auto"/>
              </w:rPr>
              <w:t>Asset write-downs</w:t>
            </w:r>
          </w:p>
        </w:tc>
      </w:tr>
      <w:tr>
        <w:trPr>
          <w:trHeight w:val="26"/>
        </w:trPr>
        <w:tc>
          <w:tcPr>
            <w:tcW w:w="85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FF0FC"/>
          </w:tcPr>
          <w:p>
            <w:pPr>
              <w:spacing w:after="0"/>
              <w:rPr>
                <w:sz w:val="19"/>
                <w:szCs w:val="19"/>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Construction-in-process</w:t>
            </w:r>
          </w:p>
        </w:tc>
        <w:tc>
          <w:tcPr>
            <w:tcW w:w="4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r>
      <w:tr>
        <w:trPr>
          <w:trHeight w:val="230"/>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9"/>
                <w:szCs w:val="19"/>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Charge taken to research and development expense</w:t>
            </w: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assessed the Fremont construction-in-process for impairment in May 2020 upon the Restructuring. The construction-in-process was related to design costs, and was determined to have no potential future value, and an impairment charge of $2.3 million was taken for the full value of the construction-in-process asset.</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assessed the Fremont ROU asset for impairment in May 2020 upon the Restructuring when the carrying value of the asset was $13.8 million. The Fremont ROU asset represented the asset group for the impairment assessment. Upon failing the first step of the long-lived asset impairment model where the undiscounted cash flows were less than the carrying value of the Fremont ROU asset, the Company performed the second step by comparing the fair value of the Fremont ROU asset to its carrying value. The fair value of the Fremont ROU asset is a non-recurring fair value measurement that was measured using a probability-weighted discounted cash flow approach, which estimated the present value of potential sublease income to be generated by the facility, less costs incurred to sublease the facility. The significant assumptions inherent in estimating the various probability weighted scenarios included the undiscounted forecasted sublease income less costs incurred, which included assumptions of the expected income and timing of entering into a future sublease, and a market-participant discount rate that reflects a potential discount rate. The Company selected the assumptions used in the fair value estimate using current market data associated with the potential sublease income and market participant discount rates. The undiscounted cash flows utilized in the fair value estimate ranged from $11.7 million to $19.1 million to be generated over the remainder of the lease term. The market-participant discount rate utilized in the fair value estimate was 4.6%. These assumptions represent level 3 inputs of the fair value hierarchy.</w:t>
      </w: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the assessment date in May 2020, the fair value of the Fremont ROU asset was $11.2 million, and the Company recorded a $2.6 million impairment charge related to the asset. The remaining carrying value of the Fremont ROU asset will be amortized over the remaining lease term on a straight-line basis. In December 2020, the Company executed a sublease for the Fremont manufacturing facility with an unrelated third-party for the remaining lease term. No further impairment was necessary as a result of the sublease. The occurrence of a triggering event for the Fremont ROU asset in future periods could result in additional impairment charges if the estimated fair value of the asset is determined to be lower than the carrying value.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asset purchase and license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April 2018, the Company completed an asset purchase and license agreement (the “GSK Agreement”) with subsidiaries of GSK to acquire a portfolio of autologous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assets and licenses for rare diseases and option rights on three additional programs in preclinical development from Telethon Foundation and San Raffaele Hospital (“Telethon-OSR”). The portfolio of programs and options acquired consisted of two late-stage clinical gene therapy programs in ongoing registrational trials for MLD and WAS, one earlier stage clinical gene therapy program for TDT, Strimvelis, and option rights exercisable upon completion of clinical proof of concept studies for three additional earlier-stage development programs, which option rights have all subsequently lapsed. The Company accounted for the GSK Agreement as an asset acquisition, since the asset purchase and licensing arrangement did not meet the definition of a business pursuant to ASC 805, Business Combinations, resulting in total consideration of $133.6 million, which was recorded in the second quarter of 2018.</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required to use commercially reasonable efforts to obtain a Priority Review Voucher (“PRV”) from the United States Food and Drug Administration for each of the programs for MLD, WAS and TDT, the first of which GSK retained beneficial ownership over. GSK also has an option to acquire, at a price pursuant to an agreed upon formula, any PRV granted to the Company thereafter for MLD, WAS and TDT. If GSK does not exercise this option to purchase any PRV, the Company may sell the PRV to a third party and must share any proceeds in excess of a specified sale price equally with GSK. As part of the GSK Agreement the Company is also required to use its best endeavors to make Strimvelis commercially available in the European Union until such time as an alternative gene therapy is commercially available for patients in Italy, and at all times at the San Raffaele Hospital in Milan, provided that a minimum number of patients continue to be treated at this site.</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will pay GSK non-refundable royalties and milestone payments in relation to the gene therapy programs acquired. The Company will pay a flat mid-single digit percentage royalty on the annual net sales of Strimvelis. The Company will also pay tiered royalty rates at a percentage beginning in the mid-teens up to twenty percent for the MLD and WAS products, upon marketing approval, calculated as percentages of aggregate cumulative net sales of the MLD and WAS products, respectively. The Company will pay a tiered royalty at a percentage from the high single-digits to low double-digit for the TDT product, upon marketing approval, calculated as percentages of aggregate annual net sales of the TDT product. These royalties owed to GSK are in addition to any royalties owed to other third parties under various license agreements for the GSK programs. In aggregate, the Company may pay up to £90.0 million in milestone payments upon achievement of certain sales milestones applicable to GSK. The Company’s royalty obligations with respect to MLD and WAS may be deferred for a certain period in the interest of prioritizing available capital to develop each product. The Company’s royalty obligations are subject to reduction on a product-by-product basis in the event of market control by biosimilars and will expire in April 2048. Other than Strimvelis, these royalty and milestone payments were not determined to be probable and estimable at the date of the acquisition and are not included as part of consideration.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Telethon-OSR research and development collaboration and license agreements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In connection with the Company’s entering into the GSK Agreement in April 2018, the Company also acquired and assumed agreements with Telethon Foundation and San Raffaele Hospital, together referred to as Telethon-OSR, for the research, development and commercialization of autologous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therapies for ADA-SCID, WAS, MLD and TDT.</w:t>
      </w:r>
    </w:p>
    <w:p>
      <w:pPr>
        <w:spacing w:after="0" w:line="18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consideration for the licenses, the Company will be required to make payments to Telethon-OSR upon achievement of certain product development milestones, up to an aggregate of approximately €31.0 million. Additionally, the Company will be required to pay to Telethon-OSR a tiered mid-single to low-double digit royalty percentage on annual sales of licensed products covered by patent rights on a country-by-country basis, as well as a low double-digit percentage of sublicense income received from any certain third-party sublicenses of the collaboration programs.</w:t>
      </w:r>
    </w:p>
    <w:p>
      <w:pPr>
        <w:spacing w:after="0" w:line="157"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 xml:space="preserve">In May 2019, the Company entered into a license agreement with Telethon-OSR, under which Telethon-OSR granted to the Company an exclusive worldwide license for the research, development, manufacture and commercialization of Telethon-OSR’s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autologous HSC lentiviral based gene therapy for the treatment of mucopolysaccharidosis type I, including the Hurler variant (“MPS-IH”). Under the terms of the agreement, Telethon-OSR received €15.0 million in upfront and milestone payments from the Company upon entering into the agreement, resulting in $17.2 million in in-process research and development expense. The Company is also required to make milestone payments contingent upon achievement of certain development, regulatory and commercial milestones. Additionally, the Company will be required to pay Telethon a tiered mid-single to low-double digit royalty percentage on annual net sales of licensed products.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Oxford BioMedica license, development and supply agreement</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November 2016, and amended in June 2017, May 2018, July 2018, September 2018, May 2019 and April 2020, the Company entered into an arrangement with Oxford BioMedica plc whereby Oxford BioMedica granted an exclusive intellectual property license to the Company for the purposes of research, development, and commercialization of collaboration products, and whereby Oxford BioMedica will provide process development services (“Oxford BioMedica Development Agreement”). As part of the consideration to rights and licenses granted under the Oxford BioMedica Development Agreement, the Company issued 588,220 ordinary shares to Oxford BioMedica. The Company is also obligated to make certain development milestone payments in the form of issuance of additional ordinary shares if the milestones are achieved. In November 2017, the first milestone was achieved, and the Company was committed to issue another 150,826 ordinary shares, and issued these shares in 2018. In September 2018, the second and fourth milestones were achieved, and the Company issued 150,826 ordinary shares. In April 2020, the fifth milestone was deemed to have been met upon execution of the amended agreement in April 2020, and the Company issued another 75,413 ordinary shares to Oxford BioMedica with a total value of $0.8 million. The Company may also pay low single-digit percentage royalties on net sales of collaborated product generated under the Oxford BioMedica Agreement.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 with Pharming Group N.V.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On July 1, 2021, the Company entered into a strategic collaboration with Pharming Group N.V. (“Pharming”) to research, develop, manufacture and commercialize OTL-105, an investigational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autologous HSC gene therapy for the treatment of hereditary angioedema (HAE), a life-threatening rare disorder that causes recurring swelling attacks in the face, throat, extremities and abdomen (the “Collaboration Agreement”).</w:t>
      </w:r>
    </w:p>
    <w:p>
      <w:pPr>
        <w:spacing w:after="0" w:line="165"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Under the terms of the Collaboration Agreement, Pharming was granted worldwide rights to OTL-105 and will be responsible for clinical development, regulatory filings and commercialization of the investigational gene therapy, including associated costs. The Company will lead the completion of IND-enabling activities and oversee manufacturing of OTL-105 during preclinical and clinical development, which will be funded by Pharming. In addition, both the Company and Pharming will explore the application of non-toxic conditioning regimen for use with OTL-105 administration.</w:t>
      </w:r>
    </w:p>
    <w:p>
      <w:pPr>
        <w:spacing w:after="0" w:line="15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Company received an upfront payment of $10.0 million in cash from Pharming. The Company is also eligible to receive up to $189.5 million in development, regulatory and sales milestones as well as mid-single to low double-digit royalty payments on future worldwide sales.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Agreement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also entered into a Share Purchase Agreement with Pharming on July 1, 2021 (the “SPA”), pursuant to which the Company issued 1,227,738 ordinary shares to Pharming for total consideration of $7.5 million. The consideration is payment for the fair value of ordinary shares with a fair value of $4.1 million plus a $3.4 million premium on the fair value of the Company’s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“Collaboration Agreement” and the “SPA” are referred to together as the “Pharming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the commencement of the arrangement, two units of accounting were identified, which are the issuance of 1,227,738 of the Company’s ordinary shares as part of the SPA, and the license and collaboration agreement, which conveys the license and provides for the Company to provide research, development, manufacturing services for OTL-105. The Pharming Agreements were entered into concurrently as part of a single commercial objective, and the Company considers them a single arrangement for accounting purposes. The total upfront payments of $17.5 million comprises $4.1 million attributed to the equity sold to Pharming and $13.4 million attributed to the Collaboration Agreement. In determining the fair value of the common stock issued to Pharming as part of the SPA, the Company used an option pricing valuation model to take into consideration certain holding period restrictions on the shares. The fair value of the Company’s common shares was considered a level 2 fair value measurement within the fair value hierarchy. The most significant assumptions within the model are the Company’s stock price, the term of the restrictions and the stock price volatility, which is based upon historical volatility of the Company’s stock. Based on the fair value adjustments made by management, the fair value of the shares issued was determined to be $4.1 million with the excess proceeds of $3.4 million being allocation to the Collaboration Agreement.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ind w:right="20"/>
        <w:spacing w:after="0" w:line="287" w:lineRule="auto"/>
        <w:rPr>
          <w:sz w:val="20"/>
          <w:szCs w:val="20"/>
          <w:color w:val="auto"/>
        </w:rPr>
      </w:pPr>
      <w:r>
        <w:rPr>
          <w:rFonts w:ascii="Arial" w:cs="Arial" w:eastAsia="Arial" w:hAnsi="Arial"/>
          <w:sz w:val="16"/>
          <w:szCs w:val="16"/>
          <w:color w:val="auto"/>
        </w:rPr>
        <w:t xml:space="preserve">The Company recognizes revenue under Accounting Standards Codification (“ASC”) 606, </w:t>
      </w:r>
      <w:r>
        <w:rPr>
          <w:rFonts w:ascii="Arial" w:cs="Arial" w:eastAsia="Arial" w:hAnsi="Arial"/>
          <w:sz w:val="16"/>
          <w:szCs w:val="16"/>
          <w:i w:val="1"/>
          <w:iCs w:val="1"/>
          <w:color w:val="auto"/>
        </w:rPr>
        <w:t>Revenue from Contracts with Customer</w:t>
      </w:r>
      <w:r>
        <w:rPr>
          <w:rFonts w:ascii="Arial" w:cs="Arial" w:eastAsia="Arial" w:hAnsi="Arial"/>
          <w:sz w:val="16"/>
          <w:szCs w:val="16"/>
          <w:color w:val="auto"/>
        </w:rPr>
        <w:t xml:space="preserve"> (“ASC 606”). The Company has concluded that the conveyance of the license for the HAE program and the provision of research, development, and manufacturing services for the HAE program represent a series of distinct services that are accounted for as a single performance obligation within the Collaboration Agreement. The Company determined that the transaction price includes: the non-refundable up-front payment of $10.0 million, the $3.4 million in premium associated with the SPA, and the variable consideration for estimated reimbursement payments at agreed upon contractual rates to be received from Pharming for the Company’s on-going research, development, and manufacturing services. The potential future variable consideration associated with reimbursement for research, development, and manufacturing services provided by the Company to Pharming at agreed upon contractual rates is the only remaining unsatisfied performance obligation. The milestone payments included in the Collaboration Agreement are fully constrained, as a result of the uncertainty regarding whether any of the associated milestones will be achieved and therefore, the Company determined that it could not assert that it was probable that a significant reversal in the amount of cumulative revenue recognized will not occur. The total estimated cost of the research and development services reflect the nature of the services to be performed and the Company’s best estimate of the length of time required to perform the services. The Company re-evaluates the transaction price as of the end of each reporting period.</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considered the existence of any significant financing component within the Pharming Agreements given their upfront payment structure. Based upon this assessment, the Company concluded that the up-front payments were provided for valid business reasons and not for the purpose of providing financing. Accordingly, the Company has concluded that the upfront payment structure of the Pharming Agreements does not result in the existence of a significant financing component.</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recognizes revenue associated with the performance obligation as the research, development and manufacturing services are provided using an input method, based on the cumulative costs incurred compared to the total estimated costs expected to be incurred to satisfy the performance obligation. The transfer of control to the customer occurs over the time period that the research, development and manufacturing services are to be provided by the Company, and this cost-to-cost method is, in management’s judgment, the best measure of progress towards satisfying the performance obligation. Reimbursement for research, development, and manufacturing services are recognized as the costs are incurred consistent with the cost-to-cost method. The Company's continuing obligations to provide research, development, and manufacturing services is based on the results of such efforts, and the estimated costs associated with the remaining efforts required to complete the performance obligations may change, which may materially impact revenue recognition. The Company regularly evaluates and, when necessary, updates the costs associated with the remaining effort under the Collaboration Agreement. Accordingly, revenue may fluctuate from period to period due to revisions to estimated costs, resulting in a change in the measure of progress for the performance obligation, or if the transaction price changes due to inclusion of any milestone payments that become unconstrained.</w:t>
      </w:r>
    </w:p>
    <w:p>
      <w:pPr>
        <w:spacing w:after="0" w:line="1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summarizes research and development costs incurred and collaboration revenue recognized in connection with the Company’s performance under the Collaboration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576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Reimbursement revenue</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Upfront and milestone payment revenue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collaboration revenue recognized</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$0.4 million and nil due from Pharming included in accounts receivable as of September 30, 2021 and December 31, 2020, respectively.</w:t>
      </w:r>
    </w:p>
    <w:p>
      <w:pPr>
        <w:spacing w:after="0" w:line="2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September 30, 2021, the Company had contract liabilities of $12.9 million, which is classified as either current or long-term deferred revenue in the condensed consolidated balance sheet based on the period over which this is expected to be recognized. The deferred revenue balance represents the portion of the upfront payments received that are partially unsatisfied as of September 30,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recorded income tax expense of $0.7 million and benefit of $0.8 million for the nine months ended September 30, 2021 and 2020, respectively. The Company recorded income tax benefits of $1.1 million and of $0.5 million for the three months ended September 30, 2021 and 2020, respectively, which relates primarily to the Company’s subsidiary operations in Europe and the U.S. The Company has not benefited operating losses related to its U.K. entities. The income tax benefits for the three months and nine months ended September 30, 2021 and 2020 were primarily due to share-based compensation windfalls.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any material litigation and does not have contingency reserves established for any litigation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technology development master agreement with AGC Biologics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entered into an agreement with AGC Biologic S.p.A (“AGC”) in July 2020 pursuant to which the Company is obligated to pay AGC for a minimum product manufacturing commitment, dedicated manufacturing and development resources, and for a lease component associated with the right of use of exclusive manufacturing suites within AGC’s existing facilities. The following table outlines the current commitments associated with the agreement, as of September 30,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Dedicated</w:t>
            </w:r>
          </w:p>
        </w:tc>
        <w:tc>
          <w:tcPr>
            <w:tcW w:w="200" w:type="dxa"/>
            <w:vAlign w:val="bottom"/>
          </w:tcPr>
          <w:p>
            <w:pPr>
              <w:spacing w:after="0"/>
              <w:rPr>
                <w:sz w:val="14"/>
                <w:szCs w:val="14"/>
                <w:color w:val="auto"/>
              </w:rPr>
            </w:pPr>
          </w:p>
        </w:tc>
        <w:tc>
          <w:tcPr>
            <w:tcW w:w="16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Exclusive</w:t>
            </w:r>
          </w:p>
        </w:tc>
        <w:tc>
          <w:tcPr>
            <w:tcW w:w="20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Total remaining</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manufacturing</w:t>
            </w:r>
          </w:p>
        </w:tc>
        <w:tc>
          <w:tcPr>
            <w:tcW w:w="2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6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Due in:</w:t>
            </w:r>
          </w:p>
        </w:tc>
        <w:tc>
          <w:tcPr>
            <w:tcW w:w="200" w:type="dxa"/>
            <w:vAlign w:val="bottom"/>
          </w:tcPr>
          <w:p>
            <w:pPr>
              <w:spacing w:after="0"/>
              <w:rPr>
                <w:sz w:val="7"/>
                <w:szCs w:val="7"/>
                <w:color w:val="auto"/>
              </w:rPr>
            </w:pPr>
          </w:p>
        </w:tc>
        <w:tc>
          <w:tcPr>
            <w:tcW w:w="164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manufacturing</w:t>
            </w:r>
          </w:p>
        </w:tc>
        <w:tc>
          <w:tcPr>
            <w:tcW w:w="1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manufacturing</w:t>
            </w:r>
          </w:p>
        </w:tc>
        <w:tc>
          <w:tcPr>
            <w:tcW w:w="200" w:type="dxa"/>
            <w:vAlign w:val="bottom"/>
          </w:tcPr>
          <w:p>
            <w:pPr>
              <w:spacing w:after="0"/>
              <w:rPr>
                <w:sz w:val="7"/>
                <w:szCs w:val="7"/>
                <w:color w:val="auto"/>
              </w:rPr>
            </w:pPr>
          </w:p>
        </w:tc>
        <w:tc>
          <w:tcPr>
            <w:tcW w:w="14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rPr>
              <w:t>AGC</w:t>
            </w:r>
          </w:p>
        </w:tc>
        <w:tc>
          <w:tcPr>
            <w:tcW w:w="0" w:type="dxa"/>
            <w:vAlign w:val="bottom"/>
          </w:tcPr>
          <w:p>
            <w:pPr>
              <w:spacing w:after="0"/>
              <w:rPr>
                <w:sz w:val="1"/>
                <w:szCs w:val="1"/>
                <w:color w:val="auto"/>
              </w:rPr>
            </w:pPr>
          </w:p>
        </w:tc>
      </w:tr>
      <w:tr>
        <w:trPr>
          <w:trHeight w:val="68"/>
        </w:trPr>
        <w:tc>
          <w:tcPr>
            <w:tcW w:w="4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and development</w:t>
            </w:r>
          </w:p>
        </w:tc>
        <w:tc>
          <w:tcPr>
            <w:tcW w:w="2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commitments</w:t>
            </w:r>
          </w:p>
        </w:tc>
        <w:tc>
          <w:tcPr>
            <w:tcW w:w="1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3"/>
              </w:rPr>
              <w:t>suites</w:t>
            </w:r>
          </w:p>
        </w:tc>
        <w:tc>
          <w:tcPr>
            <w:tcW w:w="200" w:type="dxa"/>
            <w:vAlign w:val="bottom"/>
          </w:tcPr>
          <w:p>
            <w:pPr>
              <w:spacing w:after="0"/>
              <w:rPr>
                <w:sz w:val="7"/>
                <w:szCs w:val="7"/>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05"/>
        </w:trPr>
        <w:tc>
          <w:tcPr>
            <w:tcW w:w="4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6"/>
              </w:rPr>
              <w:t>resources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(October - December)</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60"/>
              <w:spacing w:after="0"/>
              <w:rPr>
                <w:sz w:val="20"/>
                <w:szCs w:val="20"/>
                <w:color w:val="auto"/>
              </w:rPr>
            </w:pPr>
            <w:r>
              <w:rPr>
                <w:rFonts w:ascii="Arial" w:cs="Arial" w:eastAsia="Arial" w:hAnsi="Arial"/>
                <w:sz w:val="18"/>
                <w:szCs w:val="18"/>
                <w:color w:val="auto"/>
              </w:rPr>
              <w:t>Total commitment</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34,427</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*Tabular disclosure above has been translated to U.S. Dollar, from Euro, using an exchange rate of €1.00 to $1.18.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leases office and laboratory space and has an embedded lease at AGC for use of exclusive manufacturing suites. There have been no material changes to the Company’s lease commitments as reported in the Company’s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makes contributions to private defined contribution employee benefit plans on behalf of its employees. The Company provides employee contributions of up to six percent of each employee’s annual salary based on the jurisdiction the employees are located. The Company paid $0.5 million and $1.4 million in matching contributions for the three months and nine months ended September 30, 2021, respectively. The Company paid $0.3 million and $1.3 million in matching contributions for the three months and nine months ended September 30, 2020,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April 2018, the Company completed the GSK Agreement with subsidiaries of GSK to acquire a portfolio of autologous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assets and licenses for rare diseases and option rights on three additional programs in preclinical development from Telethon-OSR (see Note 11). As of June 16, 2021, GSK no longer had a right to nominate and appoint a designee to the Company’s board of directors, and GSK and is no longer considered a related party.</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September 30, 2021, and December 31, 2020, the Company had accounts payable and accrued expenses due to GSK of nil and $0.1 million, respectively. During the nine months ended September 30, 2021, the Company recorded no expense associated with transactions with GSK. During the nine months ended September 30, 2020 the Company entered into a global license agreement with GSK for use of their lentiviral stable cell line technology whereby the Company recorded $1.3 million of in-process research and development expense associated with upfront payments made to GSK. During the nine months ended September 30, 2021, the Company made $0.1 million in payment on accounts payable due to GSK. During the nine months ended September 30, 2020, the Company made $5.8 million in payments on accounts payable due to GSK.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related notes included elsewhere in this Quarterly Report. Some of the information contained in this discussion and analysis and set forth elsewhere in this Quarterly Report, including information with respect to our plans and strategy for our business, includes forward-looking statements that involve risks and uncertainties. You should review the section titled “Risk Factors” in Part II—Item 1A.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Orchard Therapeutics is a global gene therapy company dedicated to transforming the lives of people affected by severe diseases through the development of innovative, potentially curative gene therapies.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autologous hematopoietic stem cell (“HSC”) gene therapy approach harnesses the power of genetically modified blood stem cells and seeks to correct the underlying cause of disease in a single administration. We have one of the deepest and most advanced gene therapy pipelines in the industry spanning multiple therapeutic areas where the disease burden on children, families and caregivers is immense and current treatment options are limited or do not exist.</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our inception in 2015, we have devoted substantially all of our resources to conducting research and development of our product candidates, in-licensing and acquiring rights to our product candidates, business planning, raising capital and providing general and administrative support for our operations. To date, we have financed our operations primarily with proceeds from the sale of equity securities, including American Depositary Shares (“ADSs”) in our initial public offering (“IPO”) and follow-on offering, ordinary shares in our private placement, and convertible preferred shares. We have also financed our operations through proceeds from our senior term facilities agreement (the “Amended Credit Facility”) with MidCap Financial (Ireland) Limited (“MidCap Financial”), research grants from the California Institute of Regenerative Medicine (“CIRM”), upfront payments from our collaboration agreement with Pharming Group N.V., and proceeds associated two UK research and development tax relief programs, the Small and Medium-sized Enterprises research and development tax credit (“SME”) program and the Research and Development Expenditure (“RDEC”) program.</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incurred significant operating losses since our inception. With the approval of Libmeldy in Europe, we are now focused on our transition from a primarily clinical development stage company to a commercial stage company. We plan to continue the implementation of our commercialization plan for Libmeldy and our near-term plans for commercialization include:</w:t>
      </w:r>
    </w:p>
    <w:p>
      <w:pPr>
        <w:spacing w:after="0" w:line="184"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Enabling patient identification via multi-pronged diagnostics initiatives and newborn screening in Europe and the U.S.;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global footprint by qualifying leading centers with transplant and disease area expertise;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cross-border and treatment abroad reimbursement pathways in Europe, Middle East, and Turkey;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Securing market access via multi-stakeholder engagement with various payment models.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net losses were $108.2 million for the nine months ended September 30, 2021. As of September 30, 2021, we had an accumulated deficit of $713.9 million. As of September 30, 2021, we had cash, cash equivalents and marketable securities of $254.1 million, excluding amounts held in escrow deposits. Our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spacing w:after="0" w:line="1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government contracts or other strategic transactions. We may be unable to raise additional funds or enter into such other agreements or arrangements when needed on favorable terms,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February 9, 2021, we issued and sold (i) 20,900,321 ordinary shares, nominal value £0.10 per share, at a purchase price of $6.22 per share (the “Purchase Price”), which was the closing sale price of our ADSs on the Nasdaq Global Select Market on February 4, 2021, and (ii) 3,215,434 non-voting ordinary shares, nominal value £0.10 per share, at the Purchase Price (together (i) and (ii) the “Private Placement”). The Private Placement resulted in net proceeds to us of $143.7 million after deducting placement agent fees of $6.0 million and other offering-related costs of $0.3 million. The ordinary shares and non-voting ordinary shares were sold pursuant to a securities purchase agreement we entered into with the purchasers named therein on February 4, 2021. The ADSs representing the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ordinary shares issued in the Private Placement were registered for resale on an automatic shelf registration statement on Form S-3 filed with the SEC on April 8, 2021.</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May 28, 2021, we notified UCL Business Plc (“UCLB”) and The Regents of the University of California (“UCLA”) that we were terminating the license relating to our OTL-101 program for ADA-SCID, which was granted to us pursuant to the license agreement, dated February 6, 2016, among us, UCLB and UCLA, as amended (the “License Agreement”), such termination to be effective 30 days after the date of such notice. Except for the termination of such license, the License Agreement continues in full force and effect.</w:t>
      </w:r>
    </w:p>
    <w:p>
      <w:pPr>
        <w:spacing w:after="0" w:line="18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On July 1, 2021, the Company announced a strategic collaboration with Pharming to research, develop, manufacture and commercialize OTL-105, an investigational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autologous HSC gene therapy for the treatment of hereditary angioedema (HAE), a life-threatening rare disorder that causes recurring swelling attacks in the face, throat, extremities and abdomen.</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terms of the collaboration, Pharming has been granted worldwide rights to OTL-105 and will be responsible for clinical development, regulatory filings and commercialization of the investigational gene therapy, including associated costs. The Company will lead the completion of IND-enabling activities and oversee manufacturing of OTL-105 during preclinical and clinical development, which will be funded by Pharming. In addition, both the Company and Pharming will explore the application of non-toxic conditioning regimen for use with OTL-105 administration.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received an upfront payment of $17.5 million comprising $10.0 million in cash and a $7.5 million equity investment from Pharming at a premium to the Company’s then recent share price, resulting in the issuance of 1,227,738 ordinary shares subject to resale restrictions. The Company is also eligible to receive up to $189.5 million in development, regulatory and sales milestones as well as mid-single to low double-digit royalty payments on future worldwide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update regarding COVID-19</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current COVID-19 pandemic has presented substantial public health and economic challenges around the world and is affecting our employees, patients, communities and business operations, as well as the U.S. and global economies and financial markets. The impact of this pandemic has been and will likely continue to be extensive in many aspects of society and will likely continue to result in significant disruptions to the global economy, as well as businesses and capital markets around the world.</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an effort to halt the outbreak of COVID-19, a number of countries, including the United States, United Kingdom and Italy, have placed significant restrictions on travel. While some restrictions have been relaxed since the beginning of the pandemic, many restrictions are still in place. In the U.S. and UK, our office-based employees have been primarily working from home since March 2020. Limitations on travel and other social distancing measures may have an effect on our preclinical and clinical activities and regulatory timelines. While our clinical sites are still treating and following up with patients in clinical trials, these centers are also devoting significant resources to patients with COVID-19 and may need to devote additional resources as variants of COVID-19 lead to a potential rise in hospitalizations, which could limit their ability to enroll additional patients in ongoing clinical studies. While we believe we have enrolled and treated enough patients to support a first regulatory filing for OTL-200 in the U.S., COVID-19-related impacts shifted the enrollment timeline for our OTL-201 trial for the treatment of MPS-IIIA by three months.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additional variants of the virus proliferate, potential renewed travel and stay-at-home orders could adversely affect our contract manufacturers and third-party logistics providers. To date, our third-party contract development and manufacturing organization (CDMO) partners have continued to operate at or near normal levels. While we currently do not anticipate any interruptions, it is possible that the COVID-19 pandemic and response efforts may have an impact in the future on our or our third-party suppliers’ and CDMO partners’ ability to manufacture our products in development. We have reviewed the collectability and valuation of our assets through the date of financial statement issuance and did not identify any significant recoverability concerns or impairments. Any prolonged material disruptions to our employees, suppliers, CDMOs, vendors or patients could impact our operating results and could lead to impairments. To date, we have recorded impairments on long-lived assets that are due to a combination of a corporate restructuring and COVID-19 market impacts.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our ability to access the capital markets could be impacted if there are future disruptions to capital markets that result from the COVID-19 pandemic.</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the various risks posed by the COVID-19 pandemic, please see the section titled “Item 1A. Risk Factors” included in this Quarterly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quarters ended September 30, 2021 and 2020, we recognized $0.7 million and $2.0 million revenue from sales of Strimvelis, respectively. Libmeldy received approval from the European Commission in December 2020 and, if we are able to identify patients and secure reimbursement for our treatment, we may begin to generate revenue from the sale of Libmeldy in Europe in 2021 or early 2022. Strimvelis is distributed exclusively at the San Raffaele Hospital in Milan, Italy.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quarter ended September 30, 2021, we began recognizing revenue our collaboration agreement with Pharming. Under revenue recognition guidance, we account for our obligations to provide the license and research, development, and manufacturing services under the agreement as a series of distinct services that are accounted for as a single performance obligation. We recognize revenue using the cost-to-cost input method, which we believe best depicts the transfer of control to the customer. Under the cost-to-cost input method, the extent of progress towards completion is measured based on the ratio of actual costs incurred to the total estimated costs expected upon satisfying the identified performance obligation. Under this method, revenue is recorded as a percentage of the estimated transaction price based on the extent of progress towards completion. We recognize adjustments in revenue under the cumulative catch-up method. Under this method, the impact of this adjustment on revenue recorded to date is recognized in the period the adjustment is identified. Reimbursement for research, development, and manufacturing services are recognized as the costs are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Cost of sales consists of costs to manufacture, including raw materials, distribute and administer Strimvelis, and royalty payments due to third parties that are tied to sales.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and include:</w:t>
      </w:r>
    </w:p>
    <w:p>
      <w:pPr>
        <w:spacing w:after="0" w:line="62" w:lineRule="exact"/>
        <w:rPr>
          <w:sz w:val="20"/>
          <w:szCs w:val="20"/>
          <w:color w:val="auto"/>
        </w:rPr>
      </w:pPr>
    </w:p>
    <w:p>
      <w:pPr>
        <w:jc w:val="both"/>
        <w:ind w:left="1000" w:right="20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preclinical activities and clinical trials on our behalf as well as contract manufacturing organizations that manufacture lentiviral vectors and cell-based drug products for use in our preclinical and clinical trials;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to acquire technologies to be used in research and development;</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share-based compensation expense, for personnel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share-based compensation and related travel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costs related to our collaboration agreements, and other operating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upfront, milestone and management fees for maintaining licenses under our third-party licensing agreements; and</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awards or other government incentives unrelated to income taxes that we earn that are recorded as an offset to the related research and development costs incurred.</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financial statements as prepaid expenses or accrued research and development expenses. United Kingdom research and development tax credits are recorded as an offset to research and development expense. Amortization of the Strimvelis loss provision is also recorded as an offset to research and development expense (see Note 2 of our condensed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spacing w:after="0" w:line="254" w:lineRule="auto"/>
        <w:rPr>
          <w:sz w:val="20"/>
          <w:szCs w:val="20"/>
          <w:color w:val="auto"/>
        </w:rPr>
      </w:pPr>
      <w:r>
        <w:rPr>
          <w:rFonts w:ascii="Arial" w:cs="Arial" w:eastAsia="Arial" w:hAnsi="Arial"/>
          <w:sz w:val="18"/>
          <w:szCs w:val="18"/>
          <w:color w:val="auto"/>
        </w:rPr>
        <w:t>Our direct external research and development expenses are tracked on a program-by-program basis and consist of costs, such as fees paid to consultants, contractors and contract manufacturing organizations in connection with our preclinical and clinical development activities. License fees and other costs incurred after a product candidate has been designated and that are directly related to the product candidate are included in direct research and development expenses for that program. License fees and other costs incurred prior to designating a product candidate for development are included in unallocated costs. We do not allocate employee costs, costs associated with our early-stage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2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or the manufacturing requirements to conduct those clinical trials. We expect that our research and development expenses will remain consistent quarter over quarter for the near term as we continue to: (i) expedite the clinical development and seek to obtain marketing approval for our lead product candidates, including OTL-200 in the U.S. for MLD and OTL-103 for WAS in the U.S. and Europe; (ii) work towards the clinical development of our early clinical phase product candidates, which may include initiating pivotal clinical trials for OTL-203 in MPS-IH and expanding the Phase I/II study for OTL-201 in MPS-IIIA; (iii) reduce our investment in and development expenses for OTL-300 for TDT and reallocate these financial resources to other programs; (iv) seek to improve the efficiency and scalability of our outsourced manufacturing processes and supply chain; (v) build process development and analytical capabilities in the near term, and potential manufacturing capabilities in the longer term; and (vi) continue to discover and develop additional product candidates. For example, in April 2020, we announced our intention to accelerate our research and development efforts for projects in less rare indications, including two new research programs in genetic subsets of frontotemporal dementia (FTD) and Crohn’s disease, and in November 2020 we announced a new program in amyotrophic lateral sclerosis (ALS). We also expect to incur additional expenses related to milestone, royalty payments and maintenance fees payable to third parties with whom we have entered into license agreements to acquire the rights related to our product candidates.</w:t>
      </w:r>
    </w:p>
    <w:p>
      <w:pPr>
        <w:spacing w:after="0" w:line="17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continued commercialization of Strimvelis, the success of our efforts to build a commercial infrastructure and commence sales of Libmeldy, and the successful development and commercialization of our other product candidates, if approved, is highly uncertain. This is due to the numerous risks and uncertainties associated with product development and commercialization, including the following:</w:t>
      </w:r>
    </w:p>
    <w:p>
      <w:pPr>
        <w:spacing w:after="0" w:line="76"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completing research and preclinical development of our product candidates and identifying attractive new gene therapy product candidates;</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conducting and fully enrolling clinical trials in the development of our product candidates, including maintaining or resuming enrollment as a result of the COVID-19 pandemic;</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registrational clinical trials that achieve their primary endpoints;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expanding our existing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marketing authorization and related post-marketing commitments for regulatory compliance for Libmeldy and Strimvelis in Europe;</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qualifying for, obtaining, and/or maintaining, adequate coverage and reimbursement by government and private payors for Libmeldy, Strimvelis and any product candidate for which we obtain marketing approval;</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both amount and quality, products and services to support clinical development of our product candidates and the market demand for Libmeldy, Strimvelis and any of our product candidates for which we obtain marketing approval;</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market acceptance of Strimvelis, Libmeldy, and our current and future product candidates, if approved, as viable treatment options with acceptable long-term safety profiles;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 including robust quality systems and compliance systems;</w:t>
      </w:r>
    </w:p>
    <w:p>
      <w:pPr>
        <w:spacing w:after="0" w:line="12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2" w:name="page33"/>
    <w:bookmarkEnd w:id="32"/>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change in the outcome of any of these variables with respect to the development of a product or product candidate could mean a significant change in the costs and timing associated with the development of that product or product candidate. For example, if the FDA, EMA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 and we may never succeed in obtaining regulatory approval for any of our product candidates. If the EMA or another regulatory body determines that the safety profile of Strimvelis is no longer acceptable as a result of the adverse event described above, our ability to commercialize Strimvelis would be impaired.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Selling, general and administrative expenses consist primarily of salaries and other related costs, including share-based compensation, for personnel in our executive, finance, commercial, corporate and business development, and administrative functions. Selling,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5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Selling, general and administrative expenses were flat in the third quarter of 2021 as compared to the third quarter of 2020. We expect that our general and administrative expenses will remain steady in the near term. We note that our selling costs are likely to increase as we continue to expand our organization into multiple countries in Europe to support the planned launch of Libmeldy, which received marketing authorization in the European Union as well as the United Kingdom, Iceland, Liechtenstein and Norway in December 2020 but that such increases will be offset by savings as a result of our restructuring and other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and cash equivalents and marketable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consists of interest associated with our credit facility with MidCap Financial, which we entered into in May 2019, and amended and restated in May 2021. The Amended Credit Facility bears a variable interest rate at a rate of 5.95% above LIBOR, plus a final payment equal to 3.5% of the principal borrowed under the Amended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realized and unrealized foreign currency transaction gains and losses.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6"/>
          </w:tcPr>
          <w:p>
            <w:pPr>
              <w:jc w:val="center"/>
              <w:ind w:left="633"/>
              <w:spacing w:after="0"/>
              <w:rPr>
                <w:sz w:val="20"/>
                <w:szCs w:val="20"/>
                <w:color w:val="auto"/>
              </w:rPr>
            </w:pPr>
            <w:r>
              <w:rPr>
                <w:rFonts w:ascii="Arial" w:cs="Arial" w:eastAsia="Arial" w:hAnsi="Arial"/>
                <w:sz w:val="14"/>
                <w:szCs w:val="14"/>
                <w:b w:val="1"/>
                <w:bCs w:val="1"/>
                <w:color w:val="auto"/>
                <w:w w:val="92"/>
              </w:rPr>
              <w:t>Nine Months Ended September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56"/>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4"/>
          </w:tcPr>
          <w:p>
            <w:pPr>
              <w:jc w:val="right"/>
              <w:ind w:right="932"/>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Product sales, net</w:t>
            </w: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(1,895)</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r>
      <w:tr>
        <w:trPr>
          <w:trHeight w:val="223"/>
        </w:trPr>
        <w:tc>
          <w:tcPr>
            <w:tcW w:w="6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(632)</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(7,451)</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(7,407)</w:t>
            </w: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operating expenses</w:t>
            </w: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105,210</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120,700</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(104,018)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(118,105)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(2,557)</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(119,175)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(1,520)</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(108,236)</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(118,359)</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Borders>
              <w:top w:val="single" w:sz="8" w:color="CFF0FC"/>
            </w:tcBorders>
            <w:shd w:val="clear" w:color="auto" w:fill="CFF0FC"/>
          </w:tcPr>
          <w:p>
            <w:pPr>
              <w:spacing w:after="0"/>
              <w:rPr>
                <w:sz w:val="19"/>
                <w:szCs w:val="19"/>
                <w:color w:val="auto"/>
              </w:rPr>
            </w:pPr>
          </w:p>
        </w:tc>
      </w:tr>
      <w:tr>
        <w:trPr>
          <w:trHeight w:val="574"/>
        </w:trPr>
        <w:tc>
          <w:tcPr>
            <w:tcW w:w="6540" w:type="dxa"/>
            <w:vAlign w:val="bottom"/>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540" w:type="dxa"/>
            <w:vAlign w:val="bottom"/>
          </w:tcPr>
          <w:p>
            <w:pPr>
              <w:spacing w:after="0"/>
              <w:rPr>
                <w:sz w:val="20"/>
                <w:szCs w:val="20"/>
                <w:color w:val="auto"/>
              </w:rPr>
            </w:pPr>
            <w:r>
              <w:rPr>
                <w:rFonts w:ascii="Arial" w:cs="Arial" w:eastAsia="Arial" w:hAnsi="Arial"/>
                <w:sz w:val="18"/>
                <w:szCs w:val="18"/>
                <w:color w:val="auto"/>
                <w:w w:val="90"/>
              </w:rPr>
              <w:t>The table below summarizes our research and development expenses by therapeutic area:</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w w:val="92"/>
              </w:rPr>
              <w:t>Nine Months Ended 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therapeutic area:</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Neurometabolic disorders</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16,209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Primary immune deficiencies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(2,571)</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Blood disorders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research and preclinical programs under development</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direct research and development expenses:</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discovery and unallocated costs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540" w:type="dxa"/>
            <w:vAlign w:val="bottom"/>
          </w:tcPr>
          <w:p>
            <w:pPr>
              <w:ind w:left="260"/>
              <w:spacing w:after="0"/>
              <w:rPr>
                <w:sz w:val="20"/>
                <w:szCs w:val="20"/>
                <w:color w:val="auto"/>
              </w:rPr>
            </w:pPr>
            <w:r>
              <w:rPr>
                <w:rFonts w:ascii="Arial" w:cs="Arial" w:eastAsia="Arial" w:hAnsi="Arial"/>
                <w:sz w:val="18"/>
                <w:szCs w:val="18"/>
                <w:color w:val="auto"/>
              </w:rPr>
              <w:t>Personnel related (excluding share-based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4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27,661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(1,292)</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Accretion of Strimvelis loss provision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(13,498)</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(17,169)</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(5,650)</w:t>
            </w: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and other</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(3,570)</w:t>
            </w:r>
          </w:p>
        </w:tc>
      </w:tr>
      <w:tr>
        <w:trPr>
          <w:trHeight w:val="223"/>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indirect research and development expenses</w:t>
            </w: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30,315</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36,854</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71,082</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for our neurometabolic disorder programs increased by $1.2 million during the nine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2021 compared to the nine months ended September 30, 2020. During this period, direct expenses associated with OTL-200 for MLD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compared to 2020. This was primarily due to a $1.3 million credit we recorded in the second quarter of 2021 associated with relief of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 licensor for a regulatory milestone associated with EMA approval of Libmeldy, and due to a $0.1 million decline in clinical costs. This was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 increase of $1.1 million in process development costs. Direct expenses associated with OTL-203 for MPS-IH increased by $3.0 million,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technical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jc w:val="both"/>
        <w:ind w:right="280"/>
        <w:spacing w:after="0" w:line="263" w:lineRule="auto"/>
        <w:rPr>
          <w:sz w:val="20"/>
          <w:szCs w:val="20"/>
          <w:color w:val="auto"/>
        </w:rPr>
      </w:pPr>
      <w:r>
        <w:rPr>
          <w:rFonts w:ascii="Arial" w:cs="Arial" w:eastAsia="Arial" w:hAnsi="Arial"/>
          <w:sz w:val="18"/>
          <w:szCs w:val="18"/>
          <w:color w:val="auto"/>
        </w:rPr>
        <w:t>development costs associated with vector, plasmid, and drug product production. Direct expenses for OTL-201 for MPS-IIIA declined by $1.3 million, primarily due to a decline of $1.0 million in technical development costs, and a decline of $0.3 million in clinical development costs. Direct expenses of OTL-202 for MPS-IIIB did not change materially as compared to the prior year period.</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Direct research and development expenses for primary immune deficiency-related programs declined by $2.6 million, primarily due to the de-prioritization and eventual termination of the license for OTL-101 for ADA-SCID in 2020 and 2021. Direct expenses associated with OTL-101 declined by $3.8 million. This was due to a $4.1 million decrease in manufacturing and process development costs with third-party contract manufacturers. Clinical-related costs increased by $0.3 million, primarily due to provisions made in the second quarter of 2021 for estimated future clinical costs associated with our sponsored clinical trials for OTL-101. After taking a provision for our estimated future clinical obligations associated with our sponsored clinical trials, we do not expect to incur significant further costs associated with OTL-101 due to termination of the license with UCLA/UCLB. The decline in direct expenses for OTL-101 were offset by an increase in direct expenses for OTL-103 for WAS of $1.6 million, which was primarily due to an increase in clinical trial costs and consulting expenses. Direct expenses for OTL-102 for X-CGD declined by $1.1 million, primarily due to a payment in the form of ordinary shares valued at $0.8 million made to Oxford BioMedica upon entering into an amendment to an on-going agreement in 2020 that did not recur in 2021.</w:t>
      </w:r>
    </w:p>
    <w:p>
      <w:pPr>
        <w:spacing w:after="0" w:line="166"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Direct research and development expenses for our blood disorder programs declined by $1.1 million due to our de-prioritization of OTL-300 for TDT. In the future, we do not expect to incur significant direct costs associated with OTL-300. The increase in costs associated with other research and preclinical programs of $1.6 million relates primarily to discovery-stage manufacturing and clinical costs, including programs targeting frontotemporal dementia and Crohn’s disease, as well as other undisclosed programs. We expect these costs to continue to increase as part of our new strategic growth plan to focus on these less rare indications.</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Unallocated research and development costs and offsets to research and development expenses declined by $6.5 million. This is due to $5.7 million non-cash impairment charges associated with the consolidation and closure of our research and development and manufacturing facilities in California that occurred in the nine months ended September 30, 2020 that did not recur in 2021. Personnel costs also declined by $0.8 million and share-based compensation declined by $1.2 million. The personnel declines are attributable to severance charges incurred in the nine months ended September 30, 2020 that did not recur in 2021. Facility and other research and development costs such as lab supplies and consumables, external manufacturing and process development, and other unallocated platform-related costs not attributable to a specific developmental program declined by $3.6 million. This was primarily due to a decline of 2.0 million in facility-related costs due to credits from the sublease of our Fremont Facility of $2.0 million, which are recorded as an offset to research and development expense. The benefits of our U.K. research and development tax credit that is recorded as an offset to research and development expense declined by $3.7 million in 2021 compared to the same period of 2020 due toa $5.8 million change in estimate of qualifying costs in 2020 that did not recur in the same period in 2021. Accretion of the Strimvelis loss provision, which is also accounted for as an offset to research and development expense declined by $1.1 million in 2021 as compared to the same period of 2020, as we have adjusted our ongoing estimate due to the de-prioritization and termination of the OTL-101 license and have extended out the expected period of losses for Strimvelis, which results in lower amortization of the loss provision.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selling, general and administrative expenses by functional area: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4"/>
                <w:szCs w:val="14"/>
                <w:b w:val="1"/>
                <w:bCs w:val="1"/>
                <w:color w:val="auto"/>
                <w:w w:val="92"/>
              </w:rPr>
              <w:t>Nine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Personnel (excluding share-based compensation)</w:t>
            </w:r>
          </w:p>
        </w:tc>
        <w:tc>
          <w:tcPr>
            <w:tcW w:w="27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15,391</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17,788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10,092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Consulting, professional, and insurance-related</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costs</w:t>
            </w:r>
          </w:p>
        </w:tc>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Marketing, promotions, and advocacy</w:t>
            </w:r>
          </w:p>
        </w:tc>
        <w:tc>
          <w:tcPr>
            <w:tcW w:w="1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Facilities and IT-related costs</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9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41,353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vMerge w:val="restart"/>
          </w:tcPr>
          <w:p>
            <w:pPr>
              <w:jc w:val="right"/>
              <w:ind w:right="830"/>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line="287" w:lineRule="auto"/>
        <w:rPr>
          <w:sz w:val="20"/>
          <w:szCs w:val="20"/>
          <w:color w:val="auto"/>
        </w:rPr>
      </w:pPr>
      <w:r>
        <w:rPr>
          <w:rFonts w:ascii="Arial" w:cs="Arial" w:eastAsia="Arial" w:hAnsi="Arial"/>
          <w:sz w:val="16"/>
          <w:szCs w:val="16"/>
          <w:color w:val="auto"/>
        </w:rPr>
        <w:t>Selling, general and administrative expenses were $41.4 million in the first three quarters of 2021, compared to $48.8 million in the first three quarters of 2020. The decline of $7.5 million was primarily due to savings associated with our corporate restructuring, which occurred in the second quarter of 2020, including a $2.4 million decline in personnel expenses. Included in this decline is a $0.7 million charge in 2020 associated with the separation of our former Chief Executive Officer that did not recur in 2021. Share-based compensation expense declined by $2.7 million in the first three quarters of 2021 compared to the first three quarters of 2020 due to a $2.7 million charge associated with the separation of our Chief Executive Officer in March 2020 that did not recur in 2021. Consulting, professional, and insurance-related costs increased by $1.0 million, primarily due to an increase in directors’ and officers’ insurance costs of $0.8 million. Expenses associated with marketing and commercialization of Strimvelis and Libmeldy, and costs associated with increased promotional and advocacy activities in preparation for the potential future commercialization of our product candidates, if approved, declined by $1.6 million. Other general and administrative costs declined by $1.7 million, resulting in a credit of $0.6 million in the first three quarters of 2021 as compared to expenses of $1.1 million in the same period of 2020. This is due to an increase of $1.2 million in expected reimbursements that we receive of fees charged for our ADR program, which are accounted for as an offset to general and administrative expenses.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Other income (expense), net for the nine months ended September 30, 2021 and 2020 consisted of expense of $3.5 million and $1.1 million, respectively. During the nine months ended September 30, 2021, we had realized and unrealized losses on foreign currency transactions of $2.0 million, compared to realized and unrealized losses of $1.5 million for the same period in 2020. These unrealized losses are driven primarily by intercompany balances denominated in currencies other than our functional currency, the U.S. Dollar, and will fluctuate with changes in exchange rates. Additionally, we had interest income of $0.3 million in the first three quarters of 2021, compared to $2.9 million in the same period of 2020. This decline in interest income is attributable to lower yields associated with our marketable securities. Interest expense increased by $0.1 million in the first three quarters of 2021 as compared to the same period of 2020.</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155"/>
        </w:trPr>
        <w:tc>
          <w:tcPr>
            <w:tcW w:w="4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4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Product sales, net</w:t>
            </w:r>
          </w:p>
        </w:tc>
        <w:tc>
          <w:tcPr>
            <w:tcW w:w="26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(1,298)</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Collaboration revenue</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3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w:t>
            </w:r>
          </w:p>
        </w:tc>
      </w:tr>
      <w:tr>
        <w:trPr>
          <w:trHeight w:val="230"/>
        </w:trPr>
        <w:tc>
          <w:tcPr>
            <w:tcW w:w="42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operating expenses</w:t>
            </w:r>
          </w:p>
        </w:tc>
        <w:tc>
          <w:tcPr>
            <w:tcW w:w="2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FF0FC"/>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Other (expense) income:</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w:t>
            </w:r>
          </w:p>
        </w:tc>
      </w:tr>
      <w:tr>
        <w:trPr>
          <w:trHeight w:val="230"/>
        </w:trPr>
        <w:tc>
          <w:tcPr>
            <w:tcW w:w="4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29"/>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(4,041)</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(9,551)</w:t>
            </w:r>
          </w:p>
        </w:tc>
      </w:tr>
      <w:tr>
        <w:trPr>
          <w:trHeight w:val="223"/>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2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w:t>
            </w: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beneft (expense)</w:t>
            </w:r>
          </w:p>
        </w:tc>
        <w:tc>
          <w:tcPr>
            <w:tcW w:w="2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(16,155)</w:t>
            </w:r>
          </w:p>
        </w:tc>
        <w:tc>
          <w:tcPr>
            <w:tcW w:w="100" w:type="dxa"/>
            <w:vAlign w:val="bottom"/>
            <w:shd w:val="clear" w:color="auto" w:fill="CFF0FC"/>
          </w:tcPr>
          <w:p>
            <w:pPr>
              <w:spacing w:after="0"/>
              <w:rPr>
                <w:sz w:val="19"/>
                <w:szCs w:val="19"/>
                <w:color w:val="auto"/>
              </w:rPr>
            </w:pPr>
          </w:p>
        </w:tc>
      </w:tr>
      <w:tr>
        <w:trPr>
          <w:trHeight w:val="642"/>
        </w:trPr>
        <w:tc>
          <w:tcPr>
            <w:tcW w:w="4260" w:type="dxa"/>
            <w:vAlign w:val="bottom"/>
          </w:tcPr>
          <w:p>
            <w:pPr>
              <w:spacing w:after="0"/>
              <w:rPr>
                <w:sz w:val="24"/>
                <w:szCs w:val="24"/>
                <w:color w:val="auto"/>
              </w:rPr>
            </w:pPr>
          </w:p>
        </w:tc>
        <w:tc>
          <w:tcPr>
            <w:tcW w:w="2380" w:type="dxa"/>
            <w:vAlign w:val="bottom"/>
          </w:tcPr>
          <w:p>
            <w:pPr>
              <w:jc w:val="right"/>
              <w:ind w:right="83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by therapeutic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left="111"/>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5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therapeutic area:</w:t>
            </w: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Neurometabolic disorders</w:t>
            </w:r>
          </w:p>
        </w:tc>
        <w:tc>
          <w:tcPr>
            <w:tcW w:w="184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7,029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4,548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Primary immune deficiencies</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Blood disorders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research and preclinical programs under development</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2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direct research and development expenses:</w:t>
            </w:r>
          </w:p>
        </w:tc>
        <w:tc>
          <w:tcPr>
            <w:tcW w:w="104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12,324</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discovery and unallocated costs</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600" w:type="dxa"/>
            <w:vAlign w:val="bottom"/>
          </w:tcPr>
          <w:p>
            <w:pPr>
              <w:ind w:left="260"/>
              <w:spacing w:after="0"/>
              <w:rPr>
                <w:sz w:val="20"/>
                <w:szCs w:val="20"/>
                <w:color w:val="auto"/>
              </w:rPr>
            </w:pPr>
            <w:r>
              <w:rPr>
                <w:rFonts w:ascii="Arial" w:cs="Arial" w:eastAsia="Arial" w:hAnsi="Arial"/>
                <w:sz w:val="18"/>
                <w:szCs w:val="18"/>
                <w:color w:val="auto"/>
              </w:rPr>
              <w:t>Personnel related (excluding share-based</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0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(530)</w:t>
            </w: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Accretion of Strimvelis loss provision</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(5,698)</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(10,104)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Impairment of long-lived assets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and other</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(797)</w:t>
            </w:r>
          </w:p>
        </w:tc>
      </w:tr>
      <w:tr>
        <w:trPr>
          <w:trHeight w:val="22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indirect research and development expenses</w:t>
            </w:r>
          </w:p>
        </w:tc>
        <w:tc>
          <w:tcPr>
            <w:tcW w:w="104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20,846</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for our neurometabolic disorder programs increased by $2.5 million during the three months ended September</w:t>
      </w:r>
    </w:p>
    <w:p>
      <w:pPr>
        <w:spacing w:after="0" w:line="46" w:lineRule="exact"/>
        <w:rPr>
          <w:sz w:val="20"/>
          <w:szCs w:val="20"/>
          <w:color w:val="auto"/>
        </w:rPr>
      </w:pPr>
    </w:p>
    <w:p>
      <w:pPr>
        <w:ind w:right="40" w:firstLine="8"/>
        <w:spacing w:after="0" w:line="292"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2021 compared to the three months ended September 30, 2020. During this period, direct expenses associated with OTL-200 for MLD increased by $1.4 million compared to the same period in 2020. This was primarily due to a $1.0 million increase in process development costs, and a $0.4 million increase in clinical costs. Direct expenses associated with OTL-203 for MPS-IH increased by $1.6 million primarily due to an increase in manufacturing costs of $2.1 million, offset by a decline in clinical costs of $0.3 million. Direct expenses for OTL-201 for MPS-IIIA declined by $0.6 million due to a $0.6 million decline in manufacturing costs. Costs for OTL-202 for MPS-IIIB did not change materially as compared to the prior year period.</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Direct research and development expenses for primary immune deficiency-related programs increased by $0.3 million during the three months ended September 30. 2021 compared to the three months ended September 30, 2020. Direct expenses for OTL-103 for WAS declined by $0.3 million, which consists of a $1.4 million decrease in vector and drug product manufacturing and process development cost, offset by a $0.5 million increase in clinical trial costs and a $0.6 million increase in consulting expenses. Direct expenses associated with OTL-101 declined by $0.5 million due to lower technical development and clinical costs. We do not expect to incur significant further costs associated with OTL-101 due to termination of the license with UCLA/UCLB. Direct expenses for OTL-102 for X-CGD increased by $0.8 million, primarily due to an increase in clinical charges.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Direct research and development expenses for our blood disorder programs declined by $0.3 million due to our de-prioritization of OTL-300 for TDT. In the future, we do not expect to incur significant direct costs associated with OTL-300. Costs for other discovery and preclinical programs were flat compared to the prior year period. In the near term, we expect these costs to remain steady as we progress our research on our early-stage programs, including programs targeting frontotemporal dementia and Crohn’s disease.</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Unallocated research and development costs and offsets to research and development expenses increased by $3.7 million. Personnel costs also increased by $0.7 million and share-based compensation declined by $0.5 million. The personnel increase is attributable to slightly higher headcount as compared to the prior year period. Facility and other research and development costs such as lab supplies and consumables, external manufacturing and process development, and other unallocated platform-related costs not attributable to a specific developmental program declined by $0.8 million. This was primarily due to a decline of $1.1 million in facility-related costs due to credits from the sublease of our Fremont Facility of $0.7 million, which are recorded as an offset to research and development expense. The benefits of our U.K. research and development tax credit that is recorded as an offset to research and development expense declined by $4.4 million, which is the result of $5.8 million change in estimate in the third quarter of 2020 that did not recur in the same period of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selling, general and administrative expenses by functional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Personnel (excluding share-based compensation)</w:t>
            </w:r>
          </w:p>
        </w:tc>
        <w:tc>
          <w:tcPr>
            <w:tcW w:w="224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4,866</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19"/>
                <w:szCs w:val="19"/>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rPr>
              <w:t>Consulting, professional, and insurance-related</w:t>
            </w: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costs</w:t>
            </w: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Marketing, promotions, and advocacy</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Facilities and IT-related costs</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13,039</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Selling, general and administrative expenses were $13.0 million in the third quarter of 2021, compared to $13.0 million in the third quarter of 2020. Share-based compensation expense increased slightly by $0.3 million. Consulting, professional, and insurance-related costs increased by $0.4 million, primarily due to an increase in directors’ and officers’ insurance costs of $0.3 million. Expenses associated with marketing and commercialization of Strimvelis and Libmeldy, and costs associated with increased promotional and advocacy activities in preparation for the potential future commercialization of our product candidates, if approved, increased by $0.3 million. Facilities and IT-related costs increased by $0.2 million generally due to increased IT costs. Other general and administrative costs declined by $1.1 million, resulting in a credit of $1.0 million in the third quarter of 2021 as compared to expenses of $0.2 million in the same period of 2020. This is due to an increase of $1.0 million in expected reimbursements that we receive of fees charged for our ADR program, which are accounted for as an offset to general and administrative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for the third quarter of 2021 and 2020 consisted of losses of $4.7 million and gains of $5.5 million, respectively. During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2021, we had realized and unrealized losses on foreign currency transactions of $4.0 million, compared to realized and unrealized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 million for the same period of 2020. These realized and unrealized gains and losses are driven primarily by intercompany balances denominated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currencies other than our functional currency, the U.S. Dollar. and will fluctuate with changes in exchange rates. Additionally, we had interest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 the third quarter of 2021, compared to $0.6 million in the third quarter of 2020. This decline in interest income is attributable to lower yields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marketable securities. Interest expense increased by $0.1 million in the third quarter of 2021 as compared to the third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From our inception through September 30, 2021, we have not generated significant revenue from product sales and incurred significant operating losses and negative cash flows from our operations. We acquired our commercial product Strimvelis and the program that is now Libmeldy from GSK in April 2018, and our product candidates are in various phases of preclinical and clinical development. In December 2020, the European Commission granted standard marketing authorization for Libmeldy. We expect to launch Libmeldy in Europe and generate product sales as early as late 2021 or early 2022. To date, we have financed our operations primarily with proceeds from the sale of ADSs in our IPO and follow-on offering, proceeds from the sale of ordinary shares in our private placement, proceeds from the sale of convertible preferred shares, proceeds associated with two UK research and development tax relief programs, the Small and Medium-sized Enterprises research and development tax credit (“SME”) program and the Research and Development Expenditure (“RDEC”) program, reimbursements from our research agreement with UCLA and, following transfer of the ADA-SCID research program sponsorship from UCLA to us in July 2018, a grant from the California Institute of Regenerative Medicine (“CIRM”), upfront payments from our collaboration agreement with Pharming Group N.V., and our Original Credit Facility and our Amended Credit Facility.</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27, 2020, we entered into a Sales Agreement with Cowen and Company, LLC, as agent, relating to an “at the market offering,” pursuant to which we may issue and sell ADSs representing our ordinary shares, having an aggregate offering price of up to $100.0 million. As of September 30, 2021, we have not sold any shares under the Sales Agreement.</w:t>
      </w:r>
    </w:p>
    <w:p>
      <w:pPr>
        <w:spacing w:after="0" w:line="18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currently have no ongoing material financing commitments, such as lines of credit or guarantees, that are expected to affect our liquidity over the next five years, other than our manufacturing, lease, and debt obligations described in our Annual Report on Form 10-K, filed with the SEC on March 2, 2021.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ind w:lef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w w:val="89"/>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(91,701)</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(114,440)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(46,928)</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134,660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157,916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r>
      <w:tr>
        <w:trPr>
          <w:trHeight w:val="209"/>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cash, cash equivalents, and</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nine months ended September 30, 2021, operating activities used $91.7 million of cash, primarily resulting from our net loss of $108.2 million. Cash usage from changes in our operating assets and liabilities was $13.9 million, which was primarily driven by an increased in our research and development tax credit receivable of $13.5 million. Accounts payable, accrued expenses, and other current liabilities used $10.3 million. These declines were offset by $13.7 million in cash inflows from deferred revenue associated with our collaboration agreement with Pharming. Non-cash adjustments to operating activities of $30.4 million was primarily due to $17.2 million in non-cash share-based compensation expense. Further, there were unrealized foreign currency adjustments of $10.3 million, which was primarily driven by unrealized foreign currency losses on intercompany accounts by our U.K. subsidiary.</w:t>
      </w:r>
    </w:p>
    <w:p>
      <w:pPr>
        <w:spacing w:after="0" w:line="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nine months ended September 30, 2020, operating activities used $114.4 million of cash, primarily resulting from our net loss of $118.4 million. Cash usage from changes in our operating assets and liabilities was $24.8 million, which was primarily driven a decline in accounts payable and accrued expenses of $16.2 million. The decline in accounts payable and accrued expenses is primarily attributable to the payout of our annual bonuses consisting of $9.0 million in the first quarter of 2020, as well as a $4.1 million payment to GSK during the third quarter of 2020 related primarily to raw material inventory for certain of our programs. Our research and development tax credit receivable increased resulting in cash usage of $2.4 million, which is generally attributable to an increase of $17.2 million in new tax credits to be claimed, offset by cash receipts of $14.6 million in 2020 from our 2017 and 2018 tax credit claims. Trade receivables used $1.8 million of cash usage, which is attributable to the timing of cash receipts on patients treated with Strimvelis. Non-cash adjustments to operating activities of $28.7 million was primarily due to $21.2 million in non-cash share-based compensation expense, and $5.7 million in non-cash impairment charges associated with our restructuring. These were offset by $2.0 million in amortization of the Strimvelis loss provision as an offset to research and development expense. Further, there were other non-cash adjustments of $0.7 million, which was primarily driven by unrealized foreign currency losses on intercompany accounts by our U.K. subsidiary.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nine months ended September 30, 2021 and 2020, respectively, we used $46.9 million and generated $134.7 million of cash in investing activities. The decline in cash from investing activities in the nine months ended September 30, 2021 compared to 2020 is attributable to cash usage for purchases of marketable debt securities of $242.3 million in the first three quarters of 2021, as compared to purchases of $76.2 in the same period of 2020. Further, in the first three quarters of 2021 there was cash generation of $198.0 million in proceeds from sales and maturities of marketable securities, as compared to cash generation of $221.5 million in the same period of 2020. In the first three quarters of 2020, we deposited $10.0 million to a construction escrow account, of which we have taken in receipts of $1.9 million associated with qualified construction expenditures.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nine months ended September 30, 2021 and 2020, cash provided by financing activities was $157.9 million and $2.8 million, respectively. During the first three quarters of 2021, we generated $143.6 million of proceeds from the issuance of ordinary shares in our private placement, after payment of $6.4 million in offering costs. In the nine months ended September 30, 2021, we generated $7.4 million associated with our entrance into the Amended Credit Facility (see Note 9 of our condensed consolidated financial statements). Further, we generated $4.1 million in proceeds associated with the Securities Purchase Agreement with Pharming that was entered into as part of our collaboration agreement. In the nine months ended September 30, 2020, we generated $2.8 million in proceeds from the exercise of share options and issuance of ordinary shares as part of our ESPP, which was the only financing activities in the first three quarters of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our expenses and capital expenditures will remain consistent in the near term in connection with our ongoing activities as we advance the preclinical activities and clinical trials of our product candidates and as we:</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grow a sales, marketing and distribution infrastructure for our commercialization of Strimvelis in the European Union and planned commercial launch of Libmeldy in Europe, and any product candidates for which we may submit for and obtain marketing approval anywhere in the world;</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our ongoing advanced registrational trials and supporting studies, and any other clinical trials that may be required to obtain marketing approval for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 research and development activities with respect to potential new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investigational new drug application, or IND, and or clinical trial application, or CTA,-enabling studies for our preclinical programs;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acquire or in-license additional product candidates;</w:t>
      </w:r>
    </w:p>
    <w:p>
      <w:pPr>
        <w:spacing w:after="0" w:line="117"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the necessary processes, controls and manufacturing data to obtain marketing approval for our product candidates, to support technology and process innovations and to support manufacturing of product to commercial scale;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implement plans to establish and operate our own in-house manufacturing operations and facility;</w:t>
      </w:r>
    </w:p>
    <w:p>
      <w:pPr>
        <w:spacing w:after="0" w:line="117"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hire and retain additional personnel, such as non-clinical, clinical, pharmacovigilance, quality assurance, regulatory affairs, manufacturing, distribution, legal, compliance, medical affairs, finance, general and administrative, commercial and scientific personnel;</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our obligations as a public company.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believe our existing cash will enable us to fund our operating expenses and capital expenditure requirements into the first half of 2023. We have based this estimate on assumptions that may prove to be wrong, and we could exhaust our available capital resources sooner than we expect.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68"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 Kingdom research and development tax credit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research and development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Valuation of share-based compensation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September 30, 2021, we had cash, cash equivalents, marketable securities, and restricted cash of $254.1 million. Our exposure to interest rate sensitivity is impacted by changes in the underlying U.K. and U.S. bank interest rates. Our surplus cash has been invested in corporate bonds, commercial paper, U.S. treasuries, and money market accounts.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w:t>
      </w:r>
    </w:p>
    <w:p>
      <w:pPr>
        <w:spacing w:after="0" w:line="2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interest rate risk on our variable rate debt as changes in interest rates could adversely affect earnings and cash flows. A 100 basis-points increase in interest rates would have an annualized pre-tax effect of approximately $0.3 million in our consolidated statements of operations and cash flows, based on current outstanding borrowings and effective interest rates on our variable rate debt. While our variable-rate debt may impact earnings and cash flows as interest rates change, it is not subject to changes in fair value.</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have borrowed $33.0 million under the Amended Credit Facility. Amounts outstanding under the Amended Credit Facility bear interest at a variable interest rate of 5.95% plus LIBOR. As of June 30, 2021, the carrying value of the term loans under the Amended Credit Facility was $32.7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exposed to foreign currency exchange risk because it currently operates in the United Kingdom and the United States. The reporting currency of the Company is the U.S. Dollar. The Company has determined the functional currency of the ultimate parent company, Orchard Therapeutics plc, is U.S. Dollars because it predominantly raises finance and expends cash in U.S. Dollars, and expects to continue to do so in the future. Exchange gains or losses arising from foreign currency transactions are included in the determination of net loss for the respective periods. Assets and liabilities have been translated at the exchange rates at the balance sheet dates, while revenue and expenses are translated at the average exchange rates over the reporting period and shareholders’ equity amounts are translated based on historical exchange rates as of the date of each transaction. Translation adjustments are not included in determining net loss but are included in our foreign exchange adjustment to other comprehensive loss, a component of shareholders’ equity.</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currently engage in currency hedging activities in order to reduce our currency exposure, but we may begin to do so in the future. Instruments that may be used to hedge future risks include foreign currency forward and swap contracts. These instruments may be used to selectively manage risks, but there can be no assurance that we will be fully protected against material foreign currency fluctuations.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Reform</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2017, the United Kingdom’s Financial Conduct Authority announced that after 2021 it would no longer compel banks to submit the rates required to calculate the London Interbank Offered Rate (LIBOR) and other interbank offered rates, which have been widely used as reference rates for various securities and financial contracts, including loans, debt and derivatives. This announcement indicates that the continuation of LIBOR on the current basis is not guaranteed after 2021. Regulators in the U.S. and other jurisdictions have been working to replace these rates with alternative reference interest rates that are supported by transactions in liquid and observable markets, such as the Secured Overnight Financing Rate (SOFR). Currently, our credit facilities reference LIBOR-based rates. The discontinuation of LIBOR will require these arrangements to be modified in order to replace LIBOR with an alternative reference interest rate, which could impact our cost of funds. Our credit facilities include a provision for the determination of a successor LIBOR rate.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or the Exchange Act) that are designed to ensure that information required to be disclosed in reports that we file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submit under the Exchange Act is (1) recorded, processed, summarized, and reported within the time periods specified in the SEC’s rules and forms and</w:t>
      </w:r>
    </w:p>
    <w:p>
      <w:pPr>
        <w:spacing w:after="0" w:line="46" w:lineRule="exact"/>
        <w:rPr>
          <w:sz w:val="20"/>
          <w:szCs w:val="20"/>
          <w:color w:val="auto"/>
        </w:rPr>
      </w:pPr>
    </w:p>
    <w:p>
      <w:pPr>
        <w:ind w:right="24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7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2021, our disclosure controls and procedures were effective at the reasonable assurance level.</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September 30, 2021,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As of September 30, 2021, we were not a party to any material legal proceedings.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i w:val="1"/>
          <w:iCs w:val="1"/>
          <w:color w:val="auto"/>
        </w:rPr>
        <w:t>Our business faces significant risks. This section of the Quarterly Report highlights some of the risks that may affect our future operating results. You should carefully consider the risks described below, as well as in our consolidated financial statements and the related notes included elsewhere in this Quarterly Report and in our other SEC filings. The occurrence of any of the events or developments described below could harm our business, financial condition, results of operations and prospects. This Quarterly Report also contains forward-looking statements that involve risks and uncertainties. Our results could materially differ from those anticipated in forward-looking statements as a result of certain factors, including the risks described below and elsewhere in this Quarterly Report and our other SEC filings. See “Special Note Regarding Forward-Looking Statements”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since inception. We expect to incur net losses for the foreseeable future and may never achieve or maintain profitability.</w:t>
      </w:r>
    </w:p>
    <w:p>
      <w:pPr>
        <w:spacing w:after="0" w:line="15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Since inception, we have incurred net losses. We have incurred net losses of $108.2 million and $118.4 million for the nine months ended September 30, 2021 and 2020, respectively. We historically have financed our operations primarily through private placements of our convertible preferred shares and through sales of our ADSs in our initial public offering and follow-on offering. We have devoted substantially all of our efforts to research and development, including clinical and preclinical development, and arranging the manufacturing of our product candidates, establishing a commercial infrastructure to support the commercialization of Strimvelis in the European Union, building a global commercial infrastructure to support commercialization of our product candidates, including Libmeldy (OTL-200) and OTL-103 for Wiskott Aldrich syndrome, or WAS, if such product candidates are approved, as well as expanding our team. Prior to the approval of Libmeldy in Europe in December 2020, Strimvelis was our only product approved for sale. Absent the realization of sufficient revenues from product sales of Libmeldy and Strimvelis, and from sales of our current or future product candidates, if approved, we may never attain profitability.</w:t>
      </w:r>
    </w:p>
    <w:p>
      <w:pPr>
        <w:spacing w:after="0" w:line="88"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over time if, and as, we:</w:t>
      </w:r>
    </w:p>
    <w:p>
      <w:pPr>
        <w:spacing w:after="0" w:line="62"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or meet primary endpoints, if any;</w:t>
      </w:r>
    </w:p>
    <w:p>
      <w:pPr>
        <w:spacing w:after="0" w:line="23" w:lineRule="exact"/>
        <w:rPr>
          <w:rFonts w:ascii="Arial" w:cs="Arial" w:eastAsia="Arial" w:hAnsi="Arial"/>
          <w:sz w:val="18"/>
          <w:szCs w:val="18"/>
          <w:color w:val="auto"/>
        </w:rPr>
      </w:pPr>
    </w:p>
    <w:p>
      <w:pPr>
        <w:ind w:left="1000" w:right="48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our build-out of our commercial operations in preparation to launch, market and sell Libmeldy in Europe and grow such infrastructure for the commercialization (or anticipated commercialization) of any product candidates for which we may submit for and obtain marketing approval anywhere in the world;</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support a sales, marketing and distribution infrastructure for Strimvelis in the European Union;</w:t>
      </w:r>
    </w:p>
    <w:p>
      <w:pPr>
        <w:spacing w:after="0" w:line="9" w:lineRule="exact"/>
        <w:rPr>
          <w:rFonts w:ascii="Arial" w:cs="Arial" w:eastAsia="Arial" w:hAnsi="Arial"/>
          <w:sz w:val="18"/>
          <w:szCs w:val="18"/>
          <w:color w:val="auto"/>
        </w:rPr>
      </w:pPr>
    </w:p>
    <w:p>
      <w:pPr>
        <w:ind w:left="1000" w:right="14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 including (i) the clinical development and seeking of marketing approval for our lead product candidates, including OTL-200 in the U.S. for MLS and OTL-103 for WAS in Europe and the U.S., (ii) initiating a pivotal clinical trial for OTL-203 in MPS-IH, (iii) expanding the Phase I/II study for OTL-201 in MPS-IIIA, (iv) our ongoing clinical trials and any regulatory updates for OTL-300 for transfusion-dependent beta-thalassemia, or TDT, and (v) any other clinical trials that may be required to obtain marketing approval for our product candidates;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investigational new drug application, or IND, or clinical trial application, or CTA, enabling studies for our preclinical programs;</w:t>
      </w:r>
    </w:p>
    <w:p>
      <w:pPr>
        <w:spacing w:after="0" w:line="20" w:lineRule="exact"/>
        <w:rPr>
          <w:rFonts w:ascii="Arial" w:cs="Arial" w:eastAsia="Arial" w:hAnsi="Arial"/>
          <w:sz w:val="17"/>
          <w:szCs w:val="17"/>
          <w:color w:val="auto"/>
        </w:rPr>
      </w:pPr>
    </w:p>
    <w:p>
      <w:pPr>
        <w:ind w:left="1000" w:right="16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 or future product candidates, including new research programs in genetic subsets of frontotemporal dementia, or FTD, and Crohn’s disease;</w:t>
      </w: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develop, acquire or in-license additional product candidates or technologies;</w:t>
      </w:r>
    </w:p>
    <w:p>
      <w:pPr>
        <w:spacing w:after="0" w:line="9" w:lineRule="exact"/>
        <w:rPr>
          <w:rFonts w:ascii="Arial" w:cs="Arial" w:eastAsia="Arial" w:hAnsi="Arial"/>
          <w:sz w:val="18"/>
          <w:szCs w:val="18"/>
          <w:color w:val="auto"/>
        </w:rPr>
      </w:pPr>
    </w:p>
    <w:p>
      <w:pPr>
        <w:ind w:left="1000" w:right="62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the necessary processes, controls and manufacturing data to obtain marketing approval for our product candidates, to support technology and process innovation, and to support manufacturing of product to commercial scale;</w:t>
      </w: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partnerships with contract development and manufacturing organizations, or CDMOs;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implement plans to establish and operate our own in-house manufacturing operations and facility in the long-term;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1000" w:right="280" w:hanging="493"/>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personnel, such as non-clinical, clinical, pharmacovigilance, quality, regulatory affairs, process development and control, manufacturing, supply chain, legal, compliance, medical affairs, finance, general and administrative, commercial and scientific personnel;</w:t>
      </w:r>
    </w:p>
    <w:p>
      <w:pPr>
        <w:spacing w:after="0" w:line="2"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encounter delays or setbacks in the preclinical testing, enrollment or conduct of our clinical trials for our product candidates, encounter delays in regulatory review timelines, such as for our marketing authorization application, or MAA, under review by the European Medicines Agency, or EMA, or experience high levels of absenteeism, due to the COVID-19 pandemic;</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our obligations as a public company.</w:t>
      </w:r>
    </w:p>
    <w:p>
      <w:pPr>
        <w:spacing w:after="0" w:line="21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December 2020, we received standard marketing authorization for Libmeldy in the European Union as well as the United Kingdom, Iceland, Liechtenstein and Norway. Although we are preparing to launch the commercialization of Libmeldy in Europe, to date Strimvelis is our only product that we have sold and, to date, it has only been approved for sale in the European Union for the treatment of adenosine deaminase severe combined immunodeficiency, or ADA-SCID. Since receiving marketing authorization, only a limited number of patients have been treated with Strimvelis. Our revenue from sales of Strimvelis alone will not be sufficient for us to become profitable. Under the terms of our asset purchase and license agreement with GSK, or the GSK Agreement, we are required to use our best endeavors to make Strimvelis commercially available in the European Union until such time as an alternative gene therapy, is commercially available for patients, and at all times at the San Raffaele Hospital in Milan, Italy, provided that a minimum number of patients continue to be treated at this site.</w:t>
      </w:r>
    </w:p>
    <w:p>
      <w:pPr>
        <w:spacing w:after="0" w:line="17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To become and remain profitable, we must develop and eventually commercialize product candidates with greater market potential. This will require us to be successful in a range of challenging activities, and our expenses will increase substantially as we seek to complete necessary preclinical studies and clinical trials of our product candidates, and manufacture, market and sell Libmeldy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generated revenue from sales of Strimvelis to date, and we may never be profitable.</w:t>
      </w:r>
    </w:p>
    <w:p>
      <w:pPr>
        <w:spacing w:after="0" w:line="117"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collaborative partners, to successfully develop and commercialize products. Although we have generated revenue from the sale of Strimvelis, we do not expect to achieve profitability unless and until we successfully commercialize Libmeldy in Europe and complete the development of, and obtain the regulatory approvals necessary to commercialize, additional product candidates. For example, in connection with the GSK Agreement, we recorded a liability for Strimvelis representing the fair value of the future expected costs to maintain the marketing authorization in excess of expected future sales. Our ability to generate future revenues from product sales depends heavily on our and or our collaborators’ success in:</w:t>
      </w:r>
    </w:p>
    <w:p>
      <w:pPr>
        <w:spacing w:after="0" w:line="70"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completing research and preclinical development of our product candidates and identifying attractive new gene therapy product candidates;</w:t>
      </w:r>
    </w:p>
    <w:p>
      <w:pPr>
        <w:spacing w:after="0" w:line="46" w:lineRule="exact"/>
        <w:rPr>
          <w:rFonts w:ascii="Arial" w:cs="Arial" w:eastAsia="Arial" w:hAnsi="Arial"/>
          <w:sz w:val="16"/>
          <w:szCs w:val="16"/>
          <w:color w:val="auto"/>
        </w:rPr>
      </w:pPr>
    </w:p>
    <w:p>
      <w:pPr>
        <w:ind w:left="1000" w:right="78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and fully enrolling clinical trials in the development of our product candidates, including maintaining or reaching target enrollment levels and collecting the necessary follow-up data during the COVID-19 pandemic;</w:t>
      </w:r>
    </w:p>
    <w:p>
      <w:pPr>
        <w:ind w:left="1000" w:right="40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registrational clinical trials that achieve their primary endpoints;</w:t>
      </w:r>
    </w:p>
    <w:p>
      <w:pPr>
        <w:jc w:val="both"/>
        <w:ind w:left="1000" w:right="80" w:hanging="493"/>
        <w:spacing w:after="0" w:line="281"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launching and commercializing Libmeldy in Europe and other product candidates for which we obtain regulatory and marketing approval by expanding our existing sales force, marketing and distribution infrastructure or, alternatively, collaborating with a commercialization partner;</w:t>
      </w:r>
    </w:p>
    <w:p>
      <w:pPr>
        <w:spacing w:after="0" w:line="1" w:lineRule="exact"/>
        <w:rPr>
          <w:rFonts w:ascii="Arial" w:cs="Arial" w:eastAsia="Arial" w:hAnsi="Arial"/>
          <w:sz w:val="16"/>
          <w:szCs w:val="16"/>
          <w:color w:val="auto"/>
        </w:rPr>
      </w:pPr>
    </w:p>
    <w:p>
      <w:pPr>
        <w:ind w:left="1000" w:right="16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marketing authorization and related post-marketing commitments for regulatory compliance for Libmeldy and Strimvelis in the European Union;</w:t>
      </w:r>
    </w:p>
    <w:p>
      <w:pPr>
        <w:ind w:left="1000" w:right="48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government and payors for Libmeldy and Strimvelis and any product candidate for which we obtain marketing approval;</w:t>
      </w:r>
    </w:p>
    <w:p>
      <w:pPr>
        <w:ind w:left="1000" w:right="300" w:hanging="493"/>
        <w:spacing w:after="0" w:line="265"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processes and relationships with third parties that can provide adequate, in both amount and quality, products and services to support clinical development of our product candidates and the market demand for Libmeldy and Strimvelis, if sales are resumed, and any of our product candidates for which we obtain marketing approval;</w:t>
      </w:r>
    </w:p>
    <w:p>
      <w:pPr>
        <w:ind w:left="1000" w:right="32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Libmeldy, Strimvelis and our product candidates, if approved, as viable treatment options with acceptable safety profiles;</w:t>
      </w: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 including robust quality systems and manufacturing capabilities;</w:t>
      </w:r>
    </w:p>
    <w:p>
      <w:pPr>
        <w:spacing w:after="0" w:line="34" w:lineRule="exact"/>
        <w:rPr>
          <w:rFonts w:ascii="Arial" w:cs="Arial" w:eastAsia="Arial" w:hAnsi="Arial"/>
          <w:sz w:val="17"/>
          <w:szCs w:val="17"/>
          <w:color w:val="auto"/>
        </w:rPr>
      </w:pPr>
    </w:p>
    <w:p>
      <w:pPr>
        <w:ind w:left="1000" w:right="300" w:hanging="49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anticipate incurring significant costs associated with commercializing Libmeldy in Europe and any other products for which we obtain marketing approval. Our expenses could increase beyond expectations if we are required by the United States Food and Drug Administration, or the FDA, or the EMA or other regulatory authorities to perform clinical and other studies in addition to those that we currently anticipate or if we encounter delays or clinical holds in the development of our product candidates. Even if we commercialize Libmeldy in Europe, generate revenue from sales of Strimvelis and are able to generate revenues from the sale of any other approved products, we may not become profitable and may need to obtain additional funding to continue operations.</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operations have consumed a substantial amount of cash since our inception. We recorded negative cash flows from operating activities during the first nine months of 2021 and 2020, primarily due to our net loss of $108.2 million and $118.4 million during those periods, respectively. We expect our expenses to increase in connection with our ongoing activities, particularly as we (i) prepare to launch the commercialization of Libmeldy in Europe, (ii) continue to support our commercial infrastructure in support of Strimvelis and our anticipated commercialization of OTL-103 for WAS, if approved, (iii) continue the research and development of, initiate further clinical trials of and seek marketing approval for, our product candidates and (iv) continue to enhance and optimize our vector technology and manufacturing processes. In addition, we expect to incur significant expenses related to product sales, post-marketing regulatory commitments, medical affairs, marketing, manufacturing, distribution and quality systems to support Libmeldy and Strimvelis and any other products for which we obtain marketing approval. Furthermore, we will continue to incur costs associated with operating as a public company, including with respect to the system and process evaluations and testing of our internal controls and financial reporting. Accordingly, we will need to obtain substantial additional funding in connection with our continuing operations. If we are unable to raise capital when needed or on reasonable terms, or at all, we would be forced to delay, reduce or eliminate certain of our research and development programs and/or commercialization efforts.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commercialization efforts and market acceptance of Libmeldy in Europe;</w:t>
      </w:r>
    </w:p>
    <w:p>
      <w:pPr>
        <w:spacing w:after="0" w:line="23" w:lineRule="exact"/>
        <w:rPr>
          <w:rFonts w:ascii="Arial" w:cs="Arial" w:eastAsia="Arial" w:hAnsi="Arial"/>
          <w:sz w:val="18"/>
          <w:szCs w:val="18"/>
          <w:color w:val="auto"/>
        </w:rPr>
      </w:pPr>
    </w:p>
    <w:p>
      <w:pPr>
        <w:ind w:left="1000" w:hanging="493"/>
        <w:spacing w:after="0" w:line="265"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and our ability to maintain the commercial infrastructure and manufacturing capabilities to support Libmeldy in Europe, Strimvelis in the European Union and any other products for which we obtain marketing approval, including costs relating to quality systems, regulatory affairs, compliance, product sales, medical affairs, commercial marketing, manufacturing and distribution;</w:t>
      </w:r>
    </w:p>
    <w:p>
      <w:pPr>
        <w:ind w:left="1000" w:right="62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government and payors on a timely basis for Libmeldy and Strimvelis and any other products for which we obtain marketing approval;</w:t>
      </w:r>
    </w:p>
    <w:p>
      <w:pPr>
        <w:ind w:left="1000" w:right="6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and submitting marketing approvals for any of our product candidates that successfully complete clinical trials, and the costs of maintaining marketing authorization and related post-marketing commitments for regulatory compliance for any products for which we obtain marketing approval;</w:t>
      </w:r>
    </w:p>
    <w:p>
      <w:pPr>
        <w:spacing w:after="0" w:line="1" w:lineRule="exact"/>
        <w:rPr>
          <w:rFonts w:ascii="Arial" w:cs="Arial" w:eastAsia="Arial" w:hAnsi="Arial"/>
          <w:sz w:val="18"/>
          <w:szCs w:val="18"/>
          <w:color w:val="auto"/>
        </w:rPr>
      </w:pPr>
    </w:p>
    <w:p>
      <w:pPr>
        <w:ind w:left="1000" w:right="12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product candidates or future product candidates, including the need to conduct long-term follow-up for up to 15 years for our development programs and additional clinical trials to support marketing approvals for our product candidates;</w:t>
      </w:r>
    </w:p>
    <w:p>
      <w:pPr>
        <w:spacing w:after="0" w:line="1" w:lineRule="exact"/>
        <w:rPr>
          <w:rFonts w:ascii="Arial" w:cs="Arial" w:eastAsia="Arial" w:hAnsi="Arial"/>
          <w:sz w:val="18"/>
          <w:szCs w:val="18"/>
          <w:color w:val="auto"/>
        </w:rPr>
      </w:pPr>
    </w:p>
    <w:p>
      <w:pPr>
        <w:ind w:left="1000" w:right="760" w:hanging="493"/>
        <w:spacing w:after="0" w:line="265"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enroll clinical trials in a timely manner and to quickly resolve any delays or clinical holds that may be imposed on our development programs, including our ability to resolve delays in trial enrollment as a result of the COVID-19 pandemic;</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 and suppliers;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Libmeldy, Strimvelis and any other products for which we may obtain marketing approval, including amounts reimbursed by government and third-party payors;</w:t>
      </w:r>
    </w:p>
    <w:p>
      <w:pPr>
        <w:ind w:left="1000" w:right="32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Identifying potential product candidates and conducting preclinical testing and clinical trials, as well as preparing for the potential commercialization of these product candidates, is a time-consuming, expensive and uncertain process that takes years to complete. We may never generate the necessary data or results required to obtain marketing approval and achieve product sales for any products other than Strimvelis. In addition, Libmeldy, Strimvelis and any other products for which we obtain and maintain marketing approval may not achieve commercial success. Any product revenues from our product candidates,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cause us to relinquish valuable rights.</w:t>
      </w:r>
    </w:p>
    <w:p>
      <w:pPr>
        <w:spacing w:after="0" w:line="1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seek to raise capital through a combination of public and private equity offerings, debt financings, strategic partnerships and alliances and licensing arrangements. To the extent that we raise capital through the sale of equity, convertible debt securities or other equity-based derivative securities, ownership percentages of all our shareholders may be diluted and the terms may include liquidation or other preferences that adversely affect their rights as shareholders. Any additional indebtedness we incur would result in additional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funds through strategic partnerships, alliances or licensing arrangements with third parties, we may have to relinquish valuable rights to our technologies, or our product candidates, or grant licenses on terms unfavorable to us. Adequate financing may not be available to us on acceptable terms, or at all. The significant volatility in public equity markets and the disruptions to the U.S. and global economies caused by the COVID-19 pandemic may make it more difficult to raise capital through sales of our ADSs on favorable terms, or at all.</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were incorporated in August 2018 to become a holding company for Orchard Therapeutics (Europe) Limited, which was founded in 2015, and its subsidiaries. Our operations, to date, have been limited to corporate organization, recruiting key personnel, business planning, raising capital, acquiring certain of our product candidate portfolios and rights to our technology, identifying potential product candidates, undertaking preclinical studies and planning and supporting clinical trials of our product candidates, establishing research and development and manufacturing capabilities, establishing a quality management system, establishing a commercial infrastructure to support the commercialization of Strimvelis in the European Union, and building a global commercial infrastructure to support commercialization of Libmeldy and OTL-103 for WAS, if approved. We have not yet demonstrated the ability to manufacture products on a commercial scale or conduct sales and marketing activities necessary for successful commercialization. Consequently, any predictions about our future success or viability may not be as accurate as they might be if we had a longer operating history. In addition, as a new business, we may encounter unforeseen expenses, difficulties, complications, delays and other known and unknown factors and setbacks.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3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 xml:space="preserve">We have concentrated our research and development efforts on our autologous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and our future success depends on our successful development of commercially viable gene therapy products. There can be no assurance that we will not experience problems or delays in developing new products and that such problems or delays will not cause unanticipated costs or that any such development problems can be solved. Although we have established a commercial infrastructure for the production of Strimvelis in the European Union and we are building a global commercial infrastructure to support commercialization of Libmeldy and OTL-103 for WAS, if approved, we may experience delays in establishing a sustainable, reproducible and scalable manufacturing capability with commercial CDMO partners, which may prevent us from commercializing our product candidates for which we obtain marketing approval on a timely or profitable basis, if at all.</w:t>
      </w:r>
    </w:p>
    <w:p>
      <w:pPr>
        <w:spacing w:after="0" w:line="177"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In addition, the clinical trial requirements of the FDA, EMA and other foreign regulatory authorities and the criteria these regulators use to determine the safety and efficacy of a product candidate can vary substantially, for example, based upon the type,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line="293" w:lineRule="auto"/>
        <w:rPr>
          <w:sz w:val="20"/>
          <w:szCs w:val="20"/>
          <w:color w:val="auto"/>
        </w:rPr>
      </w:pPr>
      <w:r>
        <w:rPr>
          <w:rFonts w:ascii="Arial" w:cs="Arial" w:eastAsia="Arial" w:hAnsi="Arial"/>
          <w:sz w:val="16"/>
          <w:szCs w:val="16"/>
          <w:color w:val="auto"/>
        </w:rPr>
        <w:t>complexity, novelty and intended use and market of such product candidates. The regulatory approval process for novel product candidates such as ours can be more expensive and take longer than the process for other, better known or more extensively studied product candidates. To date, only a limited number of gene therapies have received marketing authorization from the FDA or EMA. We have limited experience in preparing, submitting and maintaining regulatory submissions. It is difficult to determine how long it will take or how much it will cost to obtain regulatory approvals for our product candidates in the United States, Europe or in other jurisdictions, or how long it will take to commercialize Libmeldy in Europe or any other product candidates for which we obtain marketing approval. Approvals by the EMA may not be indicative of what the FDA may require for approval, and vice versa.</w:t>
      </w: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results from our clinical trials for OTL-200 for MLD, OTL-103 for WAS and for any of our other product candidates may not be sufficiently robust to support marketing approval or the submission of marketing approval. Before we submit our product candidates for marketing approval, the FDA and/or the EMA may require us to conduct additional clinical trials or evaluate patients for an additional follow-up period.</w:t>
      </w:r>
    </w:p>
    <w:p>
      <w:pPr>
        <w:spacing w:after="0" w:line="4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results from our clinical trials may not be sufficiently robust to support the approval of or submission of marketing approval for our product candidates by the FDA for OTL-200 and by the FDA and EMA for OTL-103 for WAS. The FDA and EMA normally require two registrational trials to approve a drug or biologic product, and thus the FDA and/or EMA may require that we conduct additional clinical trials of our product candidates prior to a BLA or MAA submission. The FDA and EMA typically do not consider a single registrational clinical trial to be adequate to serve as sufficient evidence to support a marketing authorization unless, among other things, (i) the trial is well-controlled and demonstrates a clinically meaningful effect on mortality, irreversible morbidity or prevention of a disease with a potentially serious outcome and (ii) a confirmatory study would be practically or ethically impossible.</w:t>
      </w:r>
    </w:p>
    <w:p>
      <w:pPr>
        <w:spacing w:after="0" w:line="19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Due to the nature of the indications our product candidates are designed to treat, and the limited number of patients with these conditions, a placebo-controlled and blinded study is not always practicable for ethical and other reasons. Accordingly, in some cases our registrational programs rely on natural history models to demonstrate clinical efficacy. While the FDA recognizes the potential for natural history models to alleviate the need for placebo arms in trials for drugs that target very rare diseases, where trial recruitment can be especially challenging, the FDA has found the use of natural history data as a historical comparator to be unsuitable for adequate and well-controlled trials in many circumstances. The FDA generally finds trials using historical controls to be credible only when the observed effect is large in comparison to variability in disease course. It is possible the FDA will not consider our comparisons to natural history data and, where available, historical transplant data or intra-subject comparison between before gene therapy and after gene therapy data, to provide clinically meaningful results. Additionally, even though OTL-200 for MLD and OTL-103 for WAS have achieved the primary endpoints in their respective ongoing registrational clinical trials, the FDA has not (and in the case of OTL-103, the EMA has also not) yet approved the clinical meaningfulness of the trial results and their sufficiency to support a marketing authorization.</w:t>
      </w:r>
    </w:p>
    <w:p>
      <w:pPr>
        <w:spacing w:after="0" w:line="18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For example, although the FDA cleared our IND application for OTL-200 in 2020 and we received Regenerative Medicine Advanced Therapy, or RMAT, designation in 2021, there can be no guarantee we will be successful in resolving open matters to the FDA’s satisfaction before the intended BLA submission, in which case the adequacy of our clinical endpoints, natural history analysis and CMC data package to support a potential BLA submission and approval will be review issues. We have also received written feedback from the FDA on the sufficiency and adequacy of our data package for OTL-103 for WAS. The FDA has advised us that the sufficiency of such package to support a BLA submission will be a review issue and recommended that we collect additional CMC and clinical data to support any such submission. We continue to engage with the FDA as we seek to address its recommendations and identify expeditious paths to market for our product candidates.</w:t>
      </w:r>
    </w:p>
    <w:p>
      <w:pPr>
        <w:spacing w:after="0" w:line="17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It is possible that the FDA or EMA may recommend or require us to conduct further studies, analyses or registrational trials with respect to our product candidates, possibly involving a larger sample size or a different clinical trial design. The FDA or EMA may also require that we conduct a longer follow-up period of patients treated with our product candidates prior to accepting a BLA or MAA submission, as applicable.</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data obtained from preclinical and clinical activities are subject to varying interpretations, which may delay, limit or prevent regulatory approval. There can be no assurance that the FDA, EMA or other foreign regulatory bodies will find the efficacy endpoints in our registrational trials or any efficacy endpoint we propose in future registrational trials to be sufficiently validated and clinically meaningful, or that our product candidates will achieve the pre-specified endpoints in current or future registrational trials to a degree of statistical significance, and with acceptable safety profiles. The FDA may further refer any future BLA submission to an advisory committee for review, evaluation, and recommendation as to whether the application should be approved. This review may add to the time for approval, and although the FDA is not bound by the recommendation of an advisory committee, objections or concerns expressed by the advisory committee may cause the FDA to delay or deny approval. We also may experience regulatory delays or rejections as a result of many factors, including serious adverse events, or SAEs, involving our product candidates, changes in regulatory policy or changes in requirements during the period of our product candidate development. Any such delays could materially and adversely affect our business, financial condition, results of operations and prospects.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180" w:firstLine="510"/>
        <w:spacing w:after="0" w:line="263" w:lineRule="auto"/>
        <w:rPr>
          <w:sz w:val="20"/>
          <w:szCs w:val="20"/>
          <w:color w:val="auto"/>
        </w:rPr>
      </w:pPr>
      <w:r>
        <w:rPr>
          <w:rFonts w:ascii="Arial" w:cs="Arial" w:eastAsia="Arial" w:hAnsi="Arial"/>
          <w:sz w:val="18"/>
          <w:szCs w:val="18"/>
          <w:color w:val="auto"/>
        </w:rPr>
        <w:t>We expect that the FDA and EMA will assess the totality of the safety and efficacy data from our product candidates in reviewing any future BLA or MAA submissions. Based on this assessment, the FDA or EMA may require that we conduct additional preclinical studies or clinical trials prior to submitting or approving a BLA or MAA for our target indications.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It is possible that the FDA or EMA may not consider the results of our clinical trials, including reliance on foreign clinical data, to be sufficient for approval of our product candidates. If the FDA or EMA require additional trials, we would incur increased costs and face delays in the marketing approval process, which may require us to expend more resources than we have available. In addition, it is possible that the FDA and EMA may have divergent opinions on the elements necessary for a successful BLA and MAA submission, respectively, which may cause us to alter our development, regulatory and/or commercialization strategies.</w:t>
      </w:r>
    </w:p>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evolved and may continue to change in the future. Such requirements may lengthen the regulatory review process, require us to perform additional studies, and increase our development costs or may force us to delay, limit, or terminate certain of our programs.</w:t>
      </w:r>
    </w:p>
    <w:p>
      <w:pPr>
        <w:spacing w:after="0" w:line="76"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Regulatory requirements governing gene and cell therapy products have evolved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CBER in its review when called upon.</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NIH has refocused the NIH Recombinant DNA Advisory Committee and changed its name to the Novel and Exceptional Technology and Research Advisory Committee, or NExTRAC. NExTRAC is a federal advisory committee that provides recommendations to the NIH Director and a public forum for the discussion of the scientific, safety, and ethical issues associated with emerging biotechnologies, which include, but are not restricted to, technologies surrounding advances in recombinant or synthetic nucleic acid research such as human gene transfer.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w:t>
      </w:r>
    </w:p>
    <w:p>
      <w:pPr>
        <w:spacing w:after="0" w:line="180"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FDA and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U.S. congressional committees and other governments or governing agencies, have also expressed interest in further regulating the biotechnology industry. Such action may delay or prevent commercialization of some or all of our product candidates. Adverse events in clinical trials of gene therapy products conducted by others may cause the FDA or other oversight bodies to change the requirements for approval of any of our product candidates, which could require additional preclinical studies or clinical trials to support the marketing approval of our product candidates or which could make our product candidates unable to successfully obtain approval. Similarly, the European Commission may issue new guidelines concerning the development and marketing authorization for gene therapies and require that we comply with these new guidelines, which could require additional preclinical studies or clinical trials to support the marketing approval of our product candidates or which could make our product candidates unable to successfully obtain approval.</w:t>
      </w:r>
    </w:p>
    <w:p>
      <w:pPr>
        <w:spacing w:after="0" w:line="19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As we advance our product candidates, we are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might be materially and adversely affected.</w:t>
      </w:r>
    </w:p>
    <w:p>
      <w:pPr>
        <w:spacing w:after="0" w:line="176"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The FDA and EMA have released a series of final guidance documents and a draft guidance document for consultation, which amongst other topics, included various aspects of gene therapy product development, review and approval, including aspects relating to clinical and manufacturing issues related to gene therapy products. We cannot be certain whether future guidance will be issued and be relevant to, or have an impact on, our gene therapy programs or the duration or expense of any applicable regulatory development and review processes.</w:t>
      </w:r>
    </w:p>
    <w:p>
      <w:pPr>
        <w:spacing w:after="0" w:line="2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Libmeldy, Strimvelis and our product candidates and the process for administering Libmeldy, Strimvelis and our product candidates may cause serious or undesirable side effects or adverse events or have other properties that could delay or prevent regulatory approval, limit commercial potential or result in significant negative consequences for our company.</w:t>
      </w:r>
    </w:p>
    <w:p>
      <w:pPr>
        <w:spacing w:after="0" w:line="76"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Following treatment with our gene therapies,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previous clinical trials, as well as conditions that did not occur or went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right="40"/>
        <w:spacing w:after="0" w:line="288" w:lineRule="auto"/>
        <w:rPr>
          <w:sz w:val="20"/>
          <w:szCs w:val="20"/>
          <w:color w:val="auto"/>
        </w:rPr>
      </w:pPr>
      <w:r>
        <w:rPr>
          <w:rFonts w:ascii="Arial" w:cs="Arial" w:eastAsia="Arial" w:hAnsi="Arial"/>
          <w:sz w:val="16"/>
          <w:szCs w:val="16"/>
          <w:color w:val="auto"/>
        </w:rPr>
        <w:t>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registrational trials or, in some cases, after they are made available to patients on a commercial scale after approval. The FDA generally requires long-term follow-up of study subjects. Although the risk profile of a gene therapy candidate is a factor in determining the adequacy of such long-term follow-up, the FDA currently recommends that sponsors observe study subjects for potential gene therapy-related adverse events for a 15-year period, including a minimum of five years of annual examinations followed by ten years of annual queries, either in person or by questionnaire, of study subjects. If additional experience indicates that any of our product candidates -- or similar products developed by other companies -- have side effects or cause serious or life-threatening side effects, the development of such product candidate may fail or be delayed, or, if the product has received regulatory approval, such approval may be revoked or limited.</w:t>
      </w:r>
    </w:p>
    <w:p>
      <w:pPr>
        <w:spacing w:after="0" w:line="1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Gene therapy is still a relatively new approach to disease treatment and additional adverse side effects could develop. Possible adverse side effects and adverse events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(or oncogenesis) by the vectors, leading to malignant transformation of transduced cells. There have been several adverse events and SAEs attributed to gene therapy treatments in the past, including reported cases of leukemia with the use of gammaretrovirus vector and death seen in other clinical trials. In October 2020, we were notified that a patient treated with Strimvelis under a compassionate use program in 2016 had been diagnosed with lymphoid T cell leukemia. Subsequent findings confirmed that the patient’s leukemia was due to insertional oncogenesis attributable to treatment with Strimvelis. The EMA’s Committee for Medicinal Products for Human Use, or CHMP, concluded that the risk-benefit balance remains favorable and requested that the Strimvelis product information identify insertional mutagenesis (or oncogenesis) as an “important identified risk” instead of an “important potential risk” in light of this event.</w:t>
      </w:r>
    </w:p>
    <w:p>
      <w:pPr>
        <w:spacing w:after="0" w:line="18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Strimvelis is the only gammaretroviral vector-based gene therapy in our portfolio. Libmeldy and all of our pipeline therapies employ the self-inactivating (SIN) lentiviral vector-based approach, which has been specifically designed to avoid insertional oncogenesis after administration. Although to our knowledge and as of the date of this report no evidence of insertional oncogenesis has been observed with lentiviral vector-based HSC gene therapy in any of our programs, there can be no assurance that this will continue to be the case. Moreover, while our gene therapy approach is designed to avoid immunogenicity after administration, there can be no assurance that patients would not develop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or adverse events at unacceptable rates or degrees of severity, we may decide or be required to halt or delay clinical development of such product candidates.</w:t>
      </w:r>
    </w:p>
    <w:p>
      <w:pPr>
        <w:spacing w:after="0" w:line="178"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In addition to side effects and adverse events caused by our product candidates, the conditioning, administration process or related procedures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While certain of our product candidates are designed to utilize milder conditioning regimens that are intended to require only limited removal of a patient’s bone marrow cells, the conditioning regimens may not be successful or may nevertheless result in adverse side effects and adverse events. If in the future we are unable to demonstrate that such adverse events were caused by the conditioning regimens used, or administration process or related procedure, the FDA, the European Commission, EMA or other regulatory authorities could order us to cease further development of, or deny approval of, our product candidates for any or all target indications. Even if we are able to demonstrate that adverse events are not related to the drug product or the administration of such drug product, such occurrences could affect patient recruitment, the ability of enrolled patients to complete the clinical trial, or the commercial viability of any product candidates that obtain regulatory approval.</w:t>
      </w:r>
    </w:p>
    <w:p>
      <w:pPr>
        <w:spacing w:after="0" w:line="168"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Additionally, the FDA could require us to adopt a Risk Evaluation and Mitigation Strategy, or REMS, as a condition of approval to ensure that the benefits of our product candidates outweigh their risks, which may include, among other things, a medication guide outlining the risks of the product for distribution to patients, a communication plan to health care practitioners, and restrictions on how or where the product can be distributed, dispensed or used. Other non-U.S. regulatory authorities could impose other specific obligations, such as through a risk management plan, or RMP, submitted to the EMA. Furthermore, if we or others later identify undesirable side effects caused by Strimvelis, Libmeldy or our product candidates, several potentially significant negative consequences could result, including:</w:t>
      </w:r>
    </w:p>
    <w:p>
      <w:pPr>
        <w:spacing w:after="0" w:line="70"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or product candidate;</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Libmeldy, Strimvelis and any other products for which we obtain marketing approval and could significantly harm our business, prospects, financial condition and results of operations.</w:t>
      </w:r>
    </w:p>
    <w:p>
      <w:pPr>
        <w:spacing w:after="0" w:line="2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To date, most of the clinical trials for our product candidates were conducted as investigator-sponsored clinical trials using drug product manufactured at academic sites. Regulatory authorities may closely scrutinize the data collected from these trials and may require that we conduct additional clinical trials prior to any marketing approval.</w:t>
      </w:r>
    </w:p>
    <w:p>
      <w:pPr>
        <w:spacing w:after="0" w:line="76"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We have limited experience conducting company-sponsored clinical trials and to date most of our product candidates have been evaluated under investigator-sponsored clinical trials using drug product manufactured at the applicable or relevant academic site. We did not control the design or administration of these investigator-sponsored trials, nor the submission or approval of any IND or foreign equivalent required to conduct these clinical trials. Investigator-sponsored clinical trials are often conducted under less rigorous clinical and manufacturing standards than those used in company-sponsored clinical trials. For example, the drug product used in our company-sponsored clinical trials is manufactured by third party CDMOs using current good manufacturing practices, or cGMP, standards. Accordingly, regulatory authorities may closely scrutinize the data collected from these investigator-sponsored clinical trials and may require us to obtain and submit additional clinical data prior to granting any marketing approval, which could delay clinical development or marketing approval of our product candidates. We will be required to demonstrate comparability between the manufacturing process used at academic centers with the manufacturing process used at CDMOs, and we cannot provide assurances that we will satisfy such comparability requirements. We may also be required to demonstrate improved quality and drug product manufacturing state of control in accordance with cGMP standards. For example, in the compassionate use program conducted by Great Osmond Street Hospital, or GOSH, one patient experienced an SAE, staphylococcal infection, possibly resulting from a bacterial growth noted in samples of the fresh drug product during the transduction procedure at this academic facility. A similar SAE, bacteremia, was observed in the clinical trial conducted at University of California Los Angeles, or UCLA, for our since-returned program OTL-101 for ADA-SCID with the fresh drug product manufactured at the academic facility, also possibly due to contamination of the drug product. The bacteremia resolved on day three without sequelae. We believe that our commercial manufacturing processes for our product candidates, together with cryopreserved formulation, which allows for safety/microbiological testing to be completed prior to drug infusion to the patient, could mitigate the risk of contamination of products that might have resulted in such infections, but there can be no assurance that this will be the case. To the extent that the results of our current company-sponsored trials are inconsistent with, or different from, the results of any investigator-sponsored trials or raise concerns regarding our product candidates, the regulatory authorities may question the results from some or all of these trials, and may require us to obtain and submit additional clinical data from drug product manufactured by CDMOs prior to granting any marketing approval, which could delay clinical development or marketing approval of our product candidates.</w:t>
      </w:r>
    </w:p>
    <w:p>
      <w:pPr>
        <w:spacing w:after="0" w:line="2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We may be unable to demonstrate comparability between (i) drug product manufactured using HSCs derived from a patient’s mobilized peripheral blood and drug product manufactured using HSCs derived from a patient’s bone marrow, (ii) drug product that has been cryopreserved and fresh drug product, and (iii) the manufacturing process used at academic centers with the manufacturing process used at CDMOs. Failure to demonstrate such comparability could affect our ability to secure regulatory approval for our product candidates or could affect the commercial viability of our product candidates if approved for use using only HSCs derived from bone marrow or using only fresh drug product.</w:t>
      </w:r>
    </w:p>
    <w:p>
      <w:pPr>
        <w:spacing w:after="0" w:line="5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To date, most of the patients who have been treated in clinical trials involving our product candidates received fresh drug product manufactured using HSCs derived from the patient’s bone marrow at academic centers. We are currently evaluating our product candidates and plan to seek marketing approval using drug product that is manufactured at CDMOs using HSCs derived from either the patient’s bone marrow or mobilized peripheral blood and using a procedure by which the gene-modified HSCs are cryopreserved in order to maintain the cellular material in suitable condition until it is thawed prior to being infused into the patient.</w:t>
      </w:r>
    </w:p>
    <w:p>
      <w:pPr>
        <w:spacing w:after="0" w:line="18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those cases where clinical trials were conducted using vector and/or drug product manufactured at academic research centers, we will need to demonstrate comparability between vector and drug product manufactured by our CDMOs with vector and/or drug product manufactured at such academic centers. Similarly, in those cases where clinical trials were conducted using fresh drug product, we will need to demonstrate comparability between drug product that has been cryopreserved and fresh drug product. In some cases, clinical trials were conducted using drug product using bone marrow or mobilized peripheral blood, or both, as the cellular source. In some cases, we may seek to demonstrate comparability between drug product manufactured using one cellular source and another. In other cases, we may elect to initially seek approval of our product candidate using one cellular source only and subsequently seek approval for the use of the other cellular source. We cannot be assured that the FDA, EMA or other regulatory authority will not require us to conduct additional analytical studies (including comparability analyses), preclinical studies and/or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ind w:right="80"/>
        <w:spacing w:after="0" w:line="273" w:lineRule="auto"/>
        <w:rPr>
          <w:sz w:val="20"/>
          <w:szCs w:val="20"/>
          <w:color w:val="auto"/>
        </w:rPr>
      </w:pPr>
      <w:r>
        <w:rPr>
          <w:rFonts w:ascii="Arial" w:cs="Arial" w:eastAsia="Arial" w:hAnsi="Arial"/>
          <w:sz w:val="17"/>
          <w:szCs w:val="17"/>
          <w:color w:val="auto"/>
        </w:rPr>
        <w:t>clinical trials before approving our product candidates using these intended commercial production methods and processes. Moreover, we cannot be assured that our analytical comparability analyses or clinical trials will be sufficiently robust to support approval of our product candidates using these production methods and processes. For example, in connection with our OTL-200 (Libmeldy) program, the FDA has noted that we may have challenges demonstrating comparability between data collected at one manufacturing facility using bone marrow and data collected at another manufacturing facility using bone marrow or peripheral blood as source cells material. Also, both the FDA and the EMA have advised us that they will require clinical data using drug product that has been cryopreserved as part of our planned BLA and MAA submissions for OTL-103 for WAS.</w:t>
      </w:r>
    </w:p>
    <w:p>
      <w:pPr>
        <w:spacing w:after="0" w:line="17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If any of the FDA, EMA or other regulatory authority does not accept our comparability data or if an adequate potency assay for a product candidate is not available or supported by such regulatory authority, our regulatory approval for such product candidate, if any, will be limited or delayed. For example, if one or more of these regulatory authorities does not accept that our cryopreservation process produces a product candidate that is comparable to our fresh drug product, our regulatory approval, if any, would be limited to our fresh product candidate until we are able to provide the regulators with satisfactory comparability data, which may include data from additional clinical trials or require additional test method development. Potency assays that measure strength (</w:t>
      </w:r>
      <w:r>
        <w:rPr>
          <w:rFonts w:ascii="Arial" w:cs="Arial" w:eastAsia="Arial" w:hAnsi="Arial"/>
          <w:sz w:val="18"/>
          <w:szCs w:val="18"/>
          <w:i w:val="1"/>
          <w:iCs w:val="1"/>
          <w:color w:val="auto"/>
        </w:rPr>
        <w:t>e.g.</w:t>
      </w:r>
      <w:r>
        <w:rPr>
          <w:rFonts w:ascii="Arial" w:cs="Arial" w:eastAsia="Arial" w:hAnsi="Arial"/>
          <w:sz w:val="18"/>
          <w:szCs w:val="18"/>
          <w:color w:val="auto"/>
        </w:rPr>
        <w:t>, enzymatic activity, or other relevant function) of each active ingredient are required for release testing of licensed biological drug products, comparability and stability analysis.</w:t>
      </w:r>
    </w:p>
    <w:p>
      <w:pPr>
        <w:spacing w:after="0" w:line="19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certain conditions, such as MLD and ADA-SCID, the potency of a product candidate may be directly measured through enzymatic activity; however, for an intracellular protein such as WAS, developing an assay is more complex. We are working with the FDA and EMA to develop appropriate approaches to assess the drug product potency of OTL-103 for the treatment of WAS, but COVID-19-related restrictions to laboratory access at our facilities and those of our third-party service providers have delayed and may continue to delay the timeline for such development. If an adequate potency assay for a product candidate, such as OTL-103, is not available, if COVID-19-related restrictions to laboratory access persist, or if the FDA or EMA require additional tests or recommend a different approach to support the potency of any of our product candidates, regulatory approval for any such product candidates will be delayed, and such regulators might request additional clinical data to support comparability analysis. Similarly, if one or more of these regulatory authorities does not accept that our drug product manufactured with HSCs derived from the patient’s mobilized peripheral blood is comparable to drug product manufactured with HSCs derived from the patient’s bone marrow, any regulatory approval would be limited to drug product manufactured with HSCs derived from the patient’s bone marrow until we are able to provide the regulators with satisfactory comparability data, which may include data from additional clinical trials. In April 2020, the FDA advised us that we may need to generate additional data to demonstrate the comparability of our OTL-200 drug product derived from the patient’s mobilized peripheral blood and the OTL-200 drug product derived from the patient’s bone marrow, and that the data provided to date are inadequate to determine if the two materials are comparable. Further, the FDA requested that we provide data that demonstrates the comparability of the different OTL-200 product formulations used across our trials. Failure to demonstrate such comparability, or if we are required to conduct additional testing or additional clinical trials, potentially at additional sites, would delay any marketing authorization and adversely affect the commercial viability of our product candidates and may adversely affect our ability to generate revenue, as a result of which our business, prospects, financial condition and results of operations may suffer.</w:t>
      </w:r>
    </w:p>
    <w:p>
      <w:pPr>
        <w:spacing w:after="0" w:line="2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As part of our strategy, we intend to identify, develop and market additional product candidates beyond our existing product candidates. We may spend several years completing our development of any particular current or future product candidates, and failure can occur at any stage. Even if we receive approval of a product candidate, we may not achieve commercial success for a variety of factors, including failure to achieve market acceptance in the medical community and the availability of third-party insurance coverage or reimbursement. For example, we received standard marketing authorization for Libmeldy in December 2020 from the European Commission and are preparing to launch the commercialization of Libmeldy in Europe, but there is no assurance that our commercialization efforts will be successful or that our pricing assumptions or our assumptions about the size of the anticipated patient population will prove to be accurate.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For example, in May 2020, we announced our decision to reduce investment in the development of OTL-101 for ADA-SCID and OTL-300 for TDT and to focus on other product candidates in our pipeline and new research and development efforts in less rare diseases. In May 2021, we announced that we would terminate the license relating to OTL-101, and such termination has taken effect. Our focus on the advancement of our other product candidates may ultimately prove to be unsuccessful or less successful than if we had continued to prioritize OTL-101 or OTL-300, and if we choose to reprioritize OTL-300 in the future, we may experience delays that would not have otherwise occurred, due to inefficiencies from loss of organizational knowledge and ramp up costs.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20"/>
        <w:spacing w:after="0" w:line="263" w:lineRule="auto"/>
        <w:rPr>
          <w:sz w:val="20"/>
          <w:szCs w:val="20"/>
          <w:color w:val="auto"/>
        </w:rPr>
      </w:pPr>
      <w:r>
        <w:rPr>
          <w:rFonts w:ascii="Arial" w:cs="Arial" w:eastAsia="Arial" w:hAnsi="Arial"/>
          <w:sz w:val="18"/>
          <w:szCs w:val="18"/>
          <w:color w:val="auto"/>
        </w:rPr>
        <w:t>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certain of our current or future product candidates may not demonstrate in patients any or all of the pharmacological benefits we believe they may possess or compare favorably to existing, approved therapies, such as bone marrow transplantation or enzyme replacement therapy. We may never succeed in demonstrating efficacy and safety of our product candidates or any future product candidates in clinical trials or in obtaining marketing approval thereafter. Accordingly, our focus on treating rare diseases may not always result in the discovery and development of commercially viable products.</w:t>
      </w:r>
    </w:p>
    <w:p>
      <w:pPr>
        <w:spacing w:after="0" w:line="188"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other than Strimvelis and Libmeldy, raise capital, expand our business or continue our operations.</w:t>
      </w:r>
    </w:p>
    <w:p>
      <w:pPr>
        <w:spacing w:after="0" w:line="2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Interim data and ad hoc analyses are preliminary in nature. Success in preclinical studies or early clinical trials may not be indicative of results obtained in later trials.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From time to time, we may publish interim data and/or ad hoc analyses from investigator-sponsored or company-sponsored clinical trials of our product candidates. Preliminary data and ad hoc analyses from these clinical trials may change as longer-term patient data become available. In general, we seek to conduct interim analyses at times we pre-specify with the applicable regulators prior to commencement of the trial, at which time we lock and reconcile the database. We may occasionally elect not to conduct subsequent interim analyses so as not to compromise the statistical analysis plan for the trial. Accordingly, our interim analyses do not include data subsequent to the cut-off date and may not be available until the next planned interim analysis. From time to time, preliminary data and ad hoc analyses might be presented, typically by academic investigators at scientific conferences or in scientific publications.</w:t>
      </w:r>
    </w:p>
    <w:p>
      <w:pPr>
        <w:spacing w:after="0" w:line="19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With respect to clinical trials conducted by our academic or other collaborators, such as University College London, UCLA, Telethon-OSR and GSK, we may not have access to the most recent clinical data or the clinical data available to us may otherwise be limited or incomplete. Interim data or ad hoc analyses from these clinical trials are not necessarily predictive of final results. Interim data or ad hoc analyses are subject to the risk that one or more of the clinical outcomes may materially change as patient enrollment continues and/or more patient data become available to us. Interim, topline and preliminary data and ad hoc analyses also remain subject to audit and verification procedures that may result in the final data being materially different from the preliminary data available to us or that we previously published. As a result, preliminary and interim data and ad hoc analyses should be viewed with caution until the final data are available. Material adverse changes in the final data compared to the preliminary or interim data or ad hoc analyses could significantly harm our business prospects.</w:t>
      </w:r>
    </w:p>
    <w:p>
      <w:pPr>
        <w:spacing w:after="0" w:line="17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Similarly, the results of preclinical studies and previous clinical trials should not be relied upon as evidence that our ongoing or future clinical trials will succeed. Trial designs and results from preclinical studies or previous clinical trials are not necessarily predictive of future clinical trial results or the ability to obtain marketing approval for our product candidates. Our product candidates may fail to show the desired safety and efficacy in clinical development despite demonstrating positive results in preclinical studies or having successfully advanced through initial clinical trials or preliminary stages of registrational clinical trials.</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For example, although sustained clinical activity has been observed in clinical trials to date for Libmeldy (OTL-200) and OTL-103 for WAS, follow-up in each of these clinical trials is ongoing and there can be no assurance that the results, in each case as of the applicable primary endpoint measurement date, seen in clinical trials of any of our product candidates ultimately will result in success in clinical trials or provide adequate support for marketing approvals by the FDA in the case of Libmeldy and by the FDA or EMA in the case of OTL-103 without conducting further clinical trials. These data, or other positive data, may not continue or occur for these patients or for any future patients in our ongoing or future clinical trials, and may not be repeated or observed in ongoing or future trials involving our product candidates. There are limited data concerning long-term safety and efficacy following treatment with our product candidates. For example, OTL-202 for mucopolysaccharidosis type III-B, or MPS-IIIB, has not yet been tested in humans. These and any of our other product candidates may fail to adequately demonstrate safety and efficacy in clinical development despite positive results in preclinical studies. Our product candidates may fail to show the desired safety and efficacy in later stages of clinical development despite having successfully advanced through initial clinical trials. There can be no assurance that any of these trials will ultimately be successful or support further clinical advancement or regulatory approval of our product candidates. In addition, there can be no assurance that we will be able to achieve the same or similar success in our preclinical studies and clinical trials of our other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200"/>
        <w:spacing w:after="0" w:line="277" w:lineRule="auto"/>
        <w:rPr>
          <w:sz w:val="20"/>
          <w:szCs w:val="20"/>
          <w:color w:val="auto"/>
        </w:rPr>
      </w:pPr>
      <w:r>
        <w:rPr>
          <w:rFonts w:ascii="Arial" w:cs="Arial" w:eastAsia="Arial" w:hAnsi="Arial"/>
          <w:sz w:val="18"/>
          <w:szCs w:val="18"/>
          <w:b w:val="1"/>
          <w:bCs w:val="1"/>
          <w:i w:val="1"/>
          <w:iCs w:val="1"/>
          <w:color w:val="auto"/>
        </w:rPr>
        <w:t>Favorable results from compassionate use programs may not establish proof of concept, and the FDA or other regulatory authorities may not accept compassionate use data as sufficient clinical validation in support of our regulatory approval efforts.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A number of patients have been administered our autologous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therapies through compassionate use programs. Compassionate use is a term that is used to refer to the use of an investigational drug outside of a clinical trial to treat a patient with a serious or immediately life-threatening disease or condition who has no comparable or satisfactory alternative treatment options. Regulators often allow compassionate use on a case-by-case basis for an individual patient or for defined groups of patients with similar treatment needs. Caution should be given when reviewing and interpreting compassionate use data. While results from treating patients through compassionate use have in certain cases been encouraging, we cannot be assured that the results observed in these cases will be observed in our ongoing or future clinical trials or that our ongoing and future clinical trials will ultimately be successful.</w:t>
      </w:r>
    </w:p>
    <w:p>
      <w:pPr>
        <w:spacing w:after="0" w:line="19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plan to submit any data available to us from compassionate use cases as part of any regulatory submission for the applicable product candidate. However, because these patients were not treated as part of a clinical trial regulatory framework and related requirements, regulatory authorities may not accept compassionate use data as sufficiently robust clinical evidence in support of our regulatory approval efforts, or they may find that the data submitted from our clinical trials are insufficient to support approval. Such decisions could materially and adversely affect our business, financial condition, results of operations and prospects.</w:t>
      </w:r>
    </w:p>
    <w:p>
      <w:pPr>
        <w:spacing w:after="0" w:line="2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Additionally, the COVID-19 global pandemic has had and may continue to have a sustained impact on our ability to recruit and follow-up with patients either due to continued or renewed restrictions on travel or shelter-in-place orders or policies, or due to changes in patient willingness to participate in trials or travel to study sites in the wake of the pandemic. Additionally, COVID-19 related study site policies may create delays or setbacks in our ability to continue to enroll or to dose patients. For example, the enrollment timeline for OTL-201 was initially delayed by three months, and we may face delays in the future due to the impacts of the COVID-19 pandemic. In addition, the indications that we are currently targeting and may in the future target are rare diseases, which may limit the pool of patients that may be enrolled in our ongoing or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6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49"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profile, to date, of the product candidate under study;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ind w:left="1000" w:right="340" w:hanging="493"/>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degree of progression of the subject’s disease at the time of enrollment;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9" w:lineRule="exact"/>
        <w:rPr>
          <w:rFonts w:ascii="Arial" w:cs="Arial" w:eastAsia="Arial" w:hAnsi="Arial"/>
          <w:sz w:val="18"/>
          <w:szCs w:val="18"/>
          <w:color w:val="auto"/>
        </w:rPr>
      </w:pPr>
    </w:p>
    <w:p>
      <w:pPr>
        <w:ind w:left="1000" w:right="420" w:hanging="493"/>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global pandemic or future pandemics or similar events on patients’ willingness and ability to participate in clinical trials or on study site policies;</w:t>
      </w: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3" w:name="page54"/>
    <w:bookmarkEnd w:id="53"/>
    <w:p>
      <w:pPr>
        <w:ind w:right="40" w:firstLine="510"/>
        <w:spacing w:after="0" w:line="259" w:lineRule="auto"/>
        <w:rPr>
          <w:sz w:val="20"/>
          <w:szCs w:val="20"/>
          <w:color w:val="auto"/>
        </w:rPr>
      </w:pPr>
      <w:r>
        <w:rPr>
          <w:rFonts w:ascii="Arial" w:cs="Arial" w:eastAsia="Arial" w:hAnsi="Arial"/>
          <w:sz w:val="18"/>
          <w:szCs w:val="18"/>
          <w:color w:val="auto"/>
        </w:rPr>
        <w:t>Our current product candidates are being developed to treat rare conditions. We plan to seek initial marketing approvals in the United States and the European Union. We may not be able to initiate or continue clinical trials if we cannot enroll a sufficient number of eligible patients to participate in the clinical trials required by the FDA or EMA. Our ability to successfully initiate, enroll and complete a clinical trial in any foreign country is subject to numerous risks unique to conducting business in foreign countries, including:</w:t>
      </w:r>
    </w:p>
    <w:p>
      <w:pPr>
        <w:spacing w:after="0" w:line="7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academic partners or contract research organizations, or CROs, and physicians;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9" w:lineRule="exact"/>
        <w:rPr>
          <w:rFonts w:ascii="Arial" w:cs="Arial" w:eastAsia="Arial" w:hAnsi="Arial"/>
          <w:sz w:val="18"/>
          <w:szCs w:val="18"/>
          <w:color w:val="auto"/>
        </w:rPr>
      </w:pPr>
    </w:p>
    <w:p>
      <w:pPr>
        <w:ind w:left="1000" w:right="120" w:hanging="493"/>
        <w:spacing w:after="0" w:line="26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85" w:lineRule="exact"/>
        <w:rPr>
          <w:sz w:val="20"/>
          <w:szCs w:val="20"/>
          <w:color w:val="auto"/>
        </w:rPr>
      </w:pPr>
    </w:p>
    <w:p>
      <w:pPr>
        <w:jc w:val="both"/>
        <w:ind w:right="400" w:firstLine="51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Clinical testing is expensive, time-consuming and uncertain as to outcome. We cannot guarantee that any clinical trials will be conducted as planned or completed on schedule, if at all. As a result of the COVID-19 global pandemic, certain of our clinical sites have partially shifted and may continue to shift significant resources to patients with COVID-19, which extended the enrollment timeline of our OTL-201 clinical trial by three months and provided challenges for patient follow-up visits for all programs. A failure of one or more clinical trials can occur at any stage of testing. Events that may prevent successful or timely completion of clinical development include:</w:t>
      </w:r>
    </w:p>
    <w:p>
      <w:pPr>
        <w:spacing w:after="0" w:line="56"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recruiting suitable patients and in sufficient volume to participate in our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by our academic partners, CROs, other third parties or us to adhere to clinical trial protocol and recordkeeping requirements;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study;</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patient enrollment, missed assessments resulting from remote follow-up visits, or delays in completion of participation as a result of the impact of the COVID-19 global pandemic or future pandemics or similar events;</w:t>
      </w: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Clinical trial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trials are inconclusive or if there are safety concerns or adverse events associated with our product candidates, we may:</w:t>
      </w:r>
    </w:p>
    <w:p>
      <w:pPr>
        <w:spacing w:after="0" w:line="140"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4" w:name="page55"/>
    <w:bookmarkEnd w:id="54"/>
    <w:p>
      <w:pPr>
        <w:ind w:left="1000" w:right="240" w:hanging="493"/>
        <w:spacing w:after="0" w:line="29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approval with, or later become subject to, labeling or a REMS (or equivalent requirement from a non-U.S. regulatory authority) that includes significant use or distribution restrictions or safety warnings, precautions, contraindications, drug interactions, or adverse events;</w:t>
      </w: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9" w:lineRule="exact"/>
        <w:rPr>
          <w:rFonts w:ascii="Arial" w:cs="Arial" w:eastAsia="Arial" w:hAnsi="Arial"/>
          <w:sz w:val="18"/>
          <w:szCs w:val="18"/>
          <w:color w:val="auto"/>
        </w:rPr>
      </w:pPr>
    </w:p>
    <w:p>
      <w:pPr>
        <w:ind w:left="1000" w:right="60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comparability or approval or be subject to additional post-marketing testing requirements;</w:t>
      </w:r>
    </w:p>
    <w:p>
      <w:pPr>
        <w:ind w:left="1000" w:right="60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 (or equivalent requirement from a non-U.S. regulatory authority);</w:t>
      </w: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by competitors, patent holders, patients, or third parties;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1"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elect to initiate a rolling BLA for our product candidates, in which case the FDA will not complete, and may delay initiating, its review of the BLA until we submit all of the required information.</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 rolling BLA is an application process that allows us to submit the information required by the BLA in sections. The FDA will not complete, and may delay initiating, its review of our BLA until we submit all of the required information for a full BLA. If we are delayed or unable to provide this required information it could delay or prevent our ability to obtain regulatory approvals, as a result of which our business, prospects, financial condition and results of operations may suffer.</w:t>
      </w:r>
    </w:p>
    <w:p>
      <w:pPr>
        <w:spacing w:after="0" w:line="295"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46"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such product candidate. Even if a product candidate demonstrates safety and efficacy in clinical trials,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7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of May 26, 2021, the FDA noted it was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However, the FDA may not be able to maintain this pace and delays or setbacks are possible in the future, including where a pre-approval inspection or an inspection of clinical sites is required and, due to the ongoing COVID-19 pandemic and travel restrictions, the FDA is unable to complete such required inspection during the review period. In 2020 and 2021, a number of companies announced receipt of complete response letters due to the FDA’s inability to complete required inspections for their applications. Regulatory authorities outside the U.S. may similarly experience delays in their regulatory activities due to the COVID-19 pandemic.</w:t>
      </w:r>
    </w:p>
    <w:p>
      <w:pPr>
        <w:spacing w:after="0" w:line="177"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In addition, regulatory agencies may not approve the labeling claims that are necessary or desirable for the successful commercialization of our product candidates. For example, regulatory agencies may approve a product candidate for fewer or more limited indications than requested or may grant approval subject to the performance of post-marketing studies. Regulators may approve a product candidate for a smaller patient population, drug formulation (such as drug product using HSCs derived from bone marrow as opposed to mobilized peripheral blood or vice versa) or manufacturing processes (such as fresh drug product as opposed to cryopreserved or use of different manufacturing facilities) than we are seeking. If we are delayed in obtaining or unable to obtain necessary regulatory approvals, or if we obtain more limited regulatory approvals than we expect, our business, prospects, financial condition and results of operations may suffer.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100"/>
        <w:spacing w:after="0" w:line="27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or any future collaborators are not able to obtain, or if there are delays in obtaining, required regulatory approvals, we or they will not be able to commercialize our product candidates, and our ability to generate revenue will be materially impaired.</w:t>
      </w:r>
    </w:p>
    <w:p>
      <w:pPr>
        <w:spacing w:after="0" w:line="63"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product candidate will prevent us from commercializing such product candidate. We have only limited experience in submitting and supporting the applications necessary to gain marketing approvals and expect to rely on third-party CROs to assist us in this process.</w:t>
      </w:r>
    </w:p>
    <w:p>
      <w:pPr>
        <w:spacing w:after="0" w:line="16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and controls up to and including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(the submission fee in the United States can be more than $2.0 million and may be higher in the future),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drug candidate. Any marketing approval of our product candidates that we, or any future collaborators, ultimately obtain may be limited or subject to restrictions or post-approval commitments that render the approved product not commercially viable.</w:t>
      </w:r>
    </w:p>
    <w:p>
      <w:pPr>
        <w:spacing w:after="0" w:line="166" w:lineRule="exact"/>
        <w:rPr>
          <w:sz w:val="20"/>
          <w:szCs w:val="20"/>
          <w:color w:val="auto"/>
        </w:rPr>
      </w:pPr>
    </w:p>
    <w:p>
      <w:pPr>
        <w:ind w:right="640" w:firstLine="510"/>
        <w:spacing w:after="0" w:line="342" w:lineRule="auto"/>
        <w:rPr>
          <w:sz w:val="20"/>
          <w:szCs w:val="20"/>
          <w:color w:val="auto"/>
        </w:rPr>
      </w:pPr>
      <w:r>
        <w:rPr>
          <w:rFonts w:ascii="Arial" w:cs="Arial" w:eastAsia="Arial" w:hAnsi="Arial"/>
          <w:sz w:val="16"/>
          <w:szCs w:val="16"/>
          <w:color w:val="auto"/>
        </w:rPr>
        <w:t>Accordingly, if we or any future collaborators experience delays in obtaining approval or if we or they fail to obtain approval of our product candidates, the commercial prospects for our product candidates may be harmed and our ability to generate revenues will be materially impaired.</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in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For example, though we received standard marketing authorization of Libmeldy (OTL-200) from the European Commission in December 2020, there is no guarantee that we will receive approval from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120" w:firstLine="510"/>
        <w:spacing w:after="0" w:line="259"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may be harmed.</w:t>
      </w:r>
    </w:p>
    <w:p>
      <w:pPr>
        <w:spacing w:after="0" w:line="18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6"/>
          <w:szCs w:val="16"/>
          <w:color w:val="auto"/>
        </w:rPr>
        <w:t>Additionally, in June 2016, the electorate in the United Kingdom voted in favor of leaving the European Union, commonly referred to as “Brexit.” The withdrawal of the United Kingdom from the European Union took effect on January 31, 2020 (the “Exit Day”), however there was an initial transition period during which European Union medicines legislation continued to apply in the United Kingdom. This transition period ended on December 31, 2020, but the United Kingdom and the European Union signed an EU-UK Trade and Cooperation Agreement (the “TCA”), which was ratified in April 2021.</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terms of the TCA, the European Union and Great Britain have separate regulatory regimes for pharmaceutical products, although there are some provisions for mutual recognition of standards, for example with regards to GMP. For instance, Great Britain will now no longer be covered by the centralized procedure for obtaining European Economic Area (the “EEA”)-wide marketing authorizations for medicinal products (under the Northern Ireland Protocol, centralized marketing authorizations will continue to be recognized in Northern Ireland) and a separate process for authorization of medicinal products will be required, resulting in an authorization covering the United Kingdom or Great Britain only. Brexit could materially impact the regulatory regime with respect to the approval of our product candidates in the United Kingdom now that the legislation has the potential to diverge from European Union legislation. Any new regulations could add time and expense to the conduct of our business, as well as the process by which our products receive regulatory approval in the United Kingdom or European Union. If any of these outcomes occur, we may be forced to restrict or delay efforts to seek regulatory approval in the United Kingdom and/or European Union for our product candidates, which could significantly and materially harm our business.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Most of the clinical trials for our product candidates conducted to date were conducted at sites outside the United States, and the FDA may not accept data from trials conducted in such locations.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date, most of the clinical trials conducted on our product candidates have been conducted outside the United States. For example, we do not yet have an IND open in the United States for OTL-203 for MPS-IH or OTL-201 for MPS-IIIA. Although the FDA may accept data from clinical trials conducted outside the United States, acceptance of these data is subject to conditions imposed by the FDA, as noted in the risk factor immediately above.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due to study design or otherwise, it would likely result in the need for additional trials, which would be costly and time-consuming and would delay or permanently halt our development of the applicable product candidates. Further, without an IND open in the United States, we forego more frequent interactions and dialogue with FDA regarding the design and conduct of our trials as well as product comparability, which may delay or halt the development of our product candidates later in development should FDA later disagree with the design or conduct of our trials or product comparability approach.</w:t>
      </w:r>
    </w:p>
    <w:p>
      <w:pPr>
        <w:spacing w:after="0" w:line="17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addition, in order to commence a clinical trial in the United States, we are required to seek FDA acceptance of an IND for each of our product candidates. We cannot be sure any IND we submit to the FDA, or any similar CTA we submit in other countries, will be accepted. We may also be required to conduct additional preclinical testing prior to submitting an IND for any of our product candidates, and the results of any such testing may not be positive. Consequently, we may be unable to successfully and efficiently execute and complete necessary clinical trials in a way that leads to a BLA submission and approval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2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other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FDA and comparable other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OTL-200 for MLD and OTL-103 for WAS received RMAT designation from the FDA, and both OTL-300 for TDT and OTL-203 for MPS-IH received a Priority Medicines, or PRIME, designation from EMA. Despite these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40"/>
        <w:spacing w:after="0" w:line="286" w:lineRule="auto"/>
        <w:rPr>
          <w:sz w:val="20"/>
          <w:szCs w:val="20"/>
          <w:color w:val="auto"/>
        </w:rPr>
      </w:pPr>
      <w:r>
        <w:rPr>
          <w:rFonts w:ascii="Arial" w:cs="Arial" w:eastAsia="Arial" w:hAnsi="Arial"/>
          <w:sz w:val="17"/>
          <w:szCs w:val="17"/>
          <w:color w:val="auto"/>
        </w:rPr>
        <w:t>designations, there can be no assurance that we will successfully obtain these or other designations for any of our other product candidates. In addition, while such designations could expedite the development or review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other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addition, we may seek RMAT designation for some of our other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drug has the potential to address unmet medical needs for such disease or condition. A BLA for an RMAT may be eligible for priority review or accelerated approval. An RMAT may be eligible for priority review if it treats a serious condition, and, if approved, would provide a significant improvement in the safety or effectiveness of the treatment of the condition. An RMAT may be eligible for accelerated approval through (1) surrogate or intermediate endpoints reasonably likely to predict long-term clinical benefit or</w:t>
      </w:r>
    </w:p>
    <w:p>
      <w:pPr>
        <w:spacing w:after="0" w:line="1" w:lineRule="exact"/>
        <w:rPr>
          <w:sz w:val="20"/>
          <w:szCs w:val="20"/>
          <w:color w:val="auto"/>
        </w:rPr>
      </w:pPr>
    </w:p>
    <w:p>
      <w:pPr>
        <w:ind w:right="60" w:firstLine="8"/>
        <w:spacing w:after="0" w:line="25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RMAT,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9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addition, the FDA has granted Rare Pediatric Disease designation to Strimvelis, OTL-200 for MLD, OTL-103 for WAS, OTL-201 for MPS-IIIA and OTL-203 for MPS-IH, and we may seek Rare Pediatric Disease designation for some of our other product candidates. The FDA defines a “rare pediatric disease” as a serious or life-threatening disease in which the serious of life-threatening manifestations primarily affect individuals aged from birth to 18 years and the disease affects fewer than 200,000 individuals in the U.S. or affects more than 200,000 in the U.S. and for which there is no reasonable expectation that the cost of developing and making in the U.S. a drug for such disease or condition will be received from sales in the U.S. of such drug. Under the FDA’s Rare Pediatric Disease Priority Review Voucher, or PRV, program, upon the approval of a BLA for the treatment of a rare pediatric disease, the sponsor of such application would be eligible for a Rare Pediatric Disease PRV that can be used to obtain priority review for a subsequent new drug application or BLA. The PRV may be sold or transferred an unlimited number of times. Congress has extended the PRV program through September 30, 2024, with potential for PRVs to be granted through September 30, 2026. This program has been subject to criticism, including by the FDA, and it is possible that even if we obtain approval for Libmeldy (OTL-200), OTL-103 for WAS, OTL-201 for MPS-IIIA and OTL-203 for MPS-IH and qualify for such a PRV, the program may no longer be in effect at the time or the value of any such PRV may decrease such that we are may not be able to realize the benefits of such PRV.</w:t>
      </w:r>
    </w:p>
    <w:p>
      <w:pPr>
        <w:spacing w:after="0" w:line="17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308" w:lineRule="auto"/>
        <w:rPr>
          <w:sz w:val="20"/>
          <w:szCs w:val="20"/>
          <w:color w:val="auto"/>
        </w:rPr>
      </w:pPr>
      <w:r>
        <w:rPr>
          <w:rFonts w:ascii="Arial" w:cs="Arial" w:eastAsia="Arial" w:hAnsi="Arial"/>
          <w:sz w:val="17"/>
          <w:szCs w:val="17"/>
          <w:color w:val="auto"/>
        </w:rPr>
        <w:t>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or RMAT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5"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Under the terms of the GSK Agreement, we are required to use commercially reasonable efforts to obtain a PRV from the FDA for each of Libmeldy, OTL-103 for WAS and OTL-300 for TDT and to transfer the first such PRV to GSK. GSK also has an option to acquire at a defined price any PRV granted to us thereafter for Libmeldy, OTL-103 for WAS and OTL-300 for TDT. In the event that GSK does not exercise this option with respect to any PRV, we may sell the PRV to a third party and must share any proceeds in excess of a specified sale price equally with GSK.</w:t>
      </w:r>
    </w:p>
    <w:p>
      <w:pPr>
        <w:spacing w:after="0" w:line="2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sought and received orphan drug designation for Libmeldy (OTL-200), OTL-103 for WAS, OTL-102 for X-CGD and OTL-201 for MPS-IIIA from the FDA and EMA, for OTL-203 for MPS-IH from the FDA, and for OTL-300 for TDT from the EMA, but we may be unable to obtain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63"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EEA,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EEA. Additionally, orphan designation is granted for products intended for the diagnosis, prevention or treatment of a life-threatening, seriously debilitating or serious and chronic condition and when, without incentives, it is unlikely that sales of the drug in the EEA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17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have sought and received orphan drug designation for Libmeldy, OTL-103 for WAS, OTL-102 for X-CGD and OTL-201 for MPS-IIIA from the FDA and EMA, for OTL-203 for MPS-IH from the FDA, and for OTL-300 for TDT from the EMA. If we request orphan drug designation for any of our other product candidates, there can be no assurances that the FDA or EMA will grant any of our other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6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precludes the FDA or EMA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EEA. The exclusivity period in the EEA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120"/>
        <w:spacing w:after="0" w:line="277" w:lineRule="auto"/>
        <w:rPr>
          <w:sz w:val="20"/>
          <w:szCs w:val="20"/>
          <w:color w:val="auto"/>
        </w:rPr>
      </w:pPr>
      <w:r>
        <w:rPr>
          <w:rFonts w:ascii="Arial" w:cs="Arial" w:eastAsia="Arial" w:hAnsi="Arial"/>
          <w:sz w:val="18"/>
          <w:szCs w:val="18"/>
          <w:color w:val="auto"/>
        </w:rPr>
        <w:t>designation was materially defective or if the manufacturer is unable to assure sufficient quantity of the product to meet the needs of patients with the rare disease or condition.</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EEA, marketing authorization may be granted to a similar medicinal product for the same orphan indication if:</w:t>
      </w:r>
    </w:p>
    <w:p>
      <w:pPr>
        <w:spacing w:after="0" w:line="80" w:lineRule="exact"/>
        <w:rPr>
          <w:sz w:val="20"/>
          <w:szCs w:val="20"/>
          <w:color w:val="auto"/>
        </w:rPr>
      </w:pPr>
    </w:p>
    <w:p>
      <w:pPr>
        <w:ind w:left="1000" w:right="460" w:hanging="493"/>
        <w:spacing w:after="0" w:line="258"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 w:lineRule="exact"/>
        <w:rPr>
          <w:rFonts w:ascii="Arial" w:cs="Arial" w:eastAsia="Arial" w:hAnsi="Arial"/>
          <w:sz w:val="18"/>
          <w:szCs w:val="18"/>
          <w:color w:val="auto"/>
        </w:rPr>
      </w:pPr>
    </w:p>
    <w:p>
      <w:pPr>
        <w:ind w:left="1000" w:right="82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ind w:left="1000" w:right="240" w:hanging="493"/>
        <w:spacing w:after="0" w:line="26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6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 post-authorization;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9" w:lineRule="exact"/>
        <w:rPr>
          <w:rFonts w:ascii="Arial" w:cs="Arial" w:eastAsia="Arial" w:hAnsi="Arial"/>
          <w:sz w:val="18"/>
          <w:szCs w:val="18"/>
          <w:color w:val="auto"/>
        </w:rPr>
      </w:pPr>
    </w:p>
    <w:p>
      <w:pPr>
        <w:ind w:left="1000" w:right="100" w:hanging="493"/>
        <w:spacing w:after="0" w:line="260"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8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188"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22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Libmeldy, Strimvelis and any of our product candidates for which we obtain regulatory approval will be subject to ongoing regulatory requirements for manufacturing, labeling, packaging, storage, advertising, promotion, sampling, record-keeping and submission of safety and other post-market information. For example, as a post-marketing commitment, we are continuing to follow patients in the OTL-200 clinical development program for up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15 years, and data will be presented to regulators at agreed points in order to further characterize the long-term efficacy and safety of Libmeldy, particularly in the early symptomatic early juvenile population. For an example of adverse event reporting, in October 2020 we notified the EMA and relevant local European regulatory authorities after we became aware that a patient treated with Strimvelis under a compassionate use program in 2016 had been diagnosed with leukemia.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firstLine="510"/>
        <w:spacing w:after="0" w:line="271" w:lineRule="auto"/>
        <w:rPr>
          <w:sz w:val="20"/>
          <w:szCs w:val="20"/>
          <w:color w:val="auto"/>
        </w:rPr>
      </w:pPr>
      <w:r>
        <w:rPr>
          <w:rFonts w:ascii="Arial" w:cs="Arial" w:eastAsia="Arial" w:hAnsi="Arial"/>
          <w:sz w:val="17"/>
          <w:szCs w:val="17"/>
          <w:color w:val="auto"/>
        </w:rPr>
        <w:t>Any regulatory approvals that we receive for our product candidates also may be subject to a REMS or equivalent requirement from a non-U.S. regulatory authority,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in the United States, the holder of an approved BLA is obligated to monitor and report adverse events and any failure of a product to meet the specifications in the BLA. FDA guidance advises that patients treated with some types of gene therapy undergo long-term safety and efficacy follow-up for as long as 15 years post therapy.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8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1" w:name="page62"/>
    <w:bookmarkEnd w:id="61"/>
    <w:p>
      <w:pPr>
        <w:ind w:firstLine="510"/>
        <w:spacing w:after="0" w:line="269" w:lineRule="auto"/>
        <w:rPr>
          <w:sz w:val="20"/>
          <w:szCs w:val="20"/>
          <w:color w:val="auto"/>
        </w:rPr>
      </w:pPr>
      <w:r>
        <w:rPr>
          <w:rFonts w:ascii="Arial" w:cs="Arial" w:eastAsia="Arial" w:hAnsi="Arial"/>
          <w:sz w:val="17"/>
          <w:szCs w:val="17"/>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compliance with cGMP rules, which govern quality control of the manufacturing process and require documentation policies and procedures. We and our third-party manufacturers would be required to ensure that all of our processes, quality systems, methods, and equipment are compliant with cGMP.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w:t>
      </w:r>
    </w:p>
    <w:p>
      <w:pPr>
        <w:spacing w:after="0" w:line="18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33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have limited manufacturing experience, and we rely on third party manufacturers that are often our single source of supply. We could experience manufacturing problems that result in delays in the development or commercialization of our commercial products or our product candidates or otherwise harm our business.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Biological products are inherently difficult to manufacture, and gene therapy products are complex biological products, the development and manufacture of which necessitates substantial expertise and capital investment. Libmeldy, Strimvelis and our product candidates are individually manufactured for each patient using complex processes in specialized facilities. Our production process requires a variety of raw materials, some of which are highly specialized, including the viral vector that encodes for the functional copy of the missing or faulty gene to treat a specific disease.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 Additionally, each manufacturing batch must meet certain analytical specifications to be released and production difficulties caused by unforeseen events may delay the availability of one or more of the necessary raw materials or delay the manufacture of our product candidates for use in clinical trials or for commercial supply. As a result of the COVID-19 global pandemic, some of our CDMOs have experienced, and may continue to experience, delays and other direct impacts at their manufacturing sites as a result of travel restrictions, shelter-in-place policies or restrictions and other disruptions caused by the pandemic.</w:t>
      </w:r>
    </w:p>
    <w:p>
      <w:pPr>
        <w:spacing w:after="0" w:line="17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have contracted with third party CDMOs for the manufacture of our viral vectors and drug product. We expect these CDMOs will be capable of providing sufficient quantities of our viral vectors and gene therapy products to meet the anticipated scale of our clinical trials and current and initial commercial demands, if any additional products are approved. However, to meet our projected needs for further commercial manufacturing and clinical trials of new product candidates, third parties with whom we currently work might need to increase their scale and frequency of production or we will need to secure alternate suppliers or develop in-house capabilities. We believe that there are alternate sources of supply that can satisfy our clinical and commercial requirements; however, identifying and establishing relationships with such sources, if necessary, could result in significant delays or material additional costs, which could delay or prevent the development of our product candidates and would have a negative impact on our business, financial condition and results of operations.</w:t>
      </w:r>
    </w:p>
    <w:p>
      <w:pPr>
        <w:spacing w:after="0" w:line="192"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Additionally, the manufacturers of pharmaceutical products must comply with strictly enforced cGMP requirements, state and federal regulations, as well as foreign requirements when applicable. Any failure of our CDMOs to adhere to or document compliance to such regulatory requirements could lead to a delay or interruption in the availability of our program materials for clinical trials. If our manufacturers were to fail to comply with the FDA, EMA, or other regulatory authority, it could result in sanctions being imposed on us, including clinical holds, fines, injunctions, civil penalties, delays, suspension or withdrawal of approvals, license revocation,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ind w:right="160"/>
        <w:spacing w:after="0" w:line="311" w:lineRule="auto"/>
        <w:rPr>
          <w:sz w:val="20"/>
          <w:szCs w:val="20"/>
          <w:color w:val="auto"/>
        </w:rPr>
      </w:pPr>
      <w:r>
        <w:rPr>
          <w:rFonts w:ascii="Arial" w:cs="Arial" w:eastAsia="Arial" w:hAnsi="Arial"/>
          <w:sz w:val="16"/>
          <w:szCs w:val="16"/>
          <w:color w:val="auto"/>
        </w:rPr>
        <w:t>seizures or recalls of raw materials, product candidates or products, operating restrictions and criminal prosecutions, any of which could significantly and adversely affect supplies of our product candidates. Our dependence upon others for the manufacture of our gene therapies may also adversely affect our future profit margins and our ability to commercialize any product candidates that receive regulatory approval on a timely and competitive basis.</w:t>
      </w:r>
    </w:p>
    <w:p>
      <w:pPr>
        <w:spacing w:after="0" w:line="2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Delays in obtaining regulatory approval of our or our CDMOs’ manufacturing process and facility or disruptions in our manufacturing process may delay or disrupt our commercialization efforts. Until recently, no cGMP gene therapy manufacturing facility in the United States had received approval from the FDA for the manufacture of an approved gene therapy product.</w:t>
      </w:r>
    </w:p>
    <w:p>
      <w:pPr>
        <w:spacing w:after="0" w:line="18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Before we can begin to commercially manufacture our viral vector or product candidates in a CDMO facility, we must obtain regulatory approval from the FDA for our manufacturing processes and for the facility in which manufacturing is performed.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therefore, the timeframe required for us to obtain such approval is uncertain. In addition, we must pass a pre-approval inspection of our CDMOs manufacturing facility by the FDA and other relevant regulatory authorities before any of our gene therapy product candidates can obtain marketing approval.</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As of August 25, 2021, certain inspections, such as foreign pre-approval, surveillance, and for-cause inspections that are not deemed mission-critical, remain temporarily postponed. In April 2021, the FDA issued guidance formally announcing plans to employ remote interactive evaluations, using risk management methods, to meet user fee commitments and goal dates. In May 2021, the FDA announced plans to continue progress toward resuming standard operational levels. Should the FDA determine that a manufacturing or bioresearch monitoring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79"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In order to obtain approval, we will need to ensure that all of our processes, quality systems, methods, equipment, policies and procedures are compliant with cGMP, and perform extensive audits of vendors, contract laboratories, CDMOs and suppliers. If any of our vendors, contract laboratories, CDMOs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spend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66" w:lineRule="exact"/>
        <w:rPr>
          <w:sz w:val="20"/>
          <w:szCs w:val="20"/>
          <w:color w:val="auto"/>
        </w:rPr>
      </w:pPr>
    </w:p>
    <w:p>
      <w:pPr>
        <w:ind w:right="740" w:firstLine="510"/>
        <w:spacing w:after="0" w:line="342" w:lineRule="auto"/>
        <w:rPr>
          <w:sz w:val="20"/>
          <w:szCs w:val="20"/>
          <w:color w:val="auto"/>
        </w:rPr>
      </w:pPr>
      <w:r>
        <w:rPr>
          <w:rFonts w:ascii="Arial" w:cs="Arial" w:eastAsia="Arial" w:hAnsi="Arial"/>
          <w:sz w:val="16"/>
          <w:szCs w:val="16"/>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have experience as a company managing a complex supply chain or satisfying manufacturing-related regulatory requirements.</w:t>
      </w:r>
    </w:p>
    <w:p>
      <w:pPr>
        <w:spacing w:after="0" w:line="1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FDA, EMA and other foreign regulatory authorities may require us to submit samples of any lot of any approved product together with the protocols showing the results of applicable tests at any time. Under some circumstances, the FDA, EMA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viral vector or a gene therapy product that could result in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Managing an autologous ex vivo gene therapy supply chain is highly complex.</w:t>
      </w:r>
    </w:p>
    <w:p>
      <w:pPr>
        <w:spacing w:after="0" w:line="11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must identify, engage and coordinate with treatment centers where a patient’s cellular source material must be collected, prepared, stored and transported to the manufacturing facility, and the cryopreserved drug product must be returned to the treatment center for administration into the patient using controlled temperature shipping containers. 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cool temperature and must typically be delivered and processed within three days of collection. While we intend to use reputable couriers and agents for the transport of such materials, if the shipping container is opened or damaged such that the cool temperature is not maintained, the cellular source material may be adversely impacted, and it may not be feasible to manufacture a drug product for the patient. Similarly, if a shipment is delayed due to adverse weather, misrouting, being held up at a customs point, COVID-19 impacts or other events, the cellular source material may not be delivered within a time window that will allow for its use for the successful manufacture of a drug product.</w:t>
      </w:r>
    </w:p>
    <w:p>
      <w:pPr>
        <w:spacing w:after="0" w:line="18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not be feasible to administer it to the patient or, if administered, it could cause harm to the patient. Similarly, if a shipment is delayed due to adverse weather, misrouting, being held up at a customs point, COVID-19 impacts or other events, and is not delivered to the clinical site within the time period that the very low temperature is maintained, the drug product may be adversely affected and be unable to be administered or, if administered, could cause harm to the patient.</w:t>
      </w:r>
    </w:p>
    <w:p>
      <w:pPr>
        <w:spacing w:after="0" w:line="177" w:lineRule="exact"/>
        <w:rPr>
          <w:sz w:val="20"/>
          <w:szCs w:val="20"/>
          <w:color w:val="auto"/>
        </w:rPr>
      </w:pPr>
    </w:p>
    <w:p>
      <w:pPr>
        <w:jc w:val="both"/>
        <w:ind w:right="160" w:firstLine="510"/>
        <w:spacing w:after="0" w:line="279" w:lineRule="auto"/>
        <w:rPr>
          <w:sz w:val="20"/>
          <w:szCs w:val="20"/>
          <w:color w:val="auto"/>
        </w:rPr>
      </w:pPr>
      <w:r>
        <w:rPr>
          <w:rFonts w:ascii="Arial" w:cs="Arial" w:eastAsia="Arial" w:hAnsi="Arial"/>
          <w:sz w:val="17"/>
          <w:szCs w:val="17"/>
          <w:color w:val="auto"/>
        </w:rPr>
        <w:t>We may be delayed or unable to identify, engage, successfully coordinate or qualify with treatment centers in the regions we are targeting as part of our commercial launch strategy, which could delay or prevent patients from receiving gene therapy treatments, if approved. For example, due to COVID-19-related travel restrictions, some in-person visits to qualify certain potential treatment centers were postponed or required to take place remotely. If our treatment centers fail to perform satisfactorily, we may suffer reputational, operational, and business harm.</w:t>
      </w:r>
    </w:p>
    <w:p>
      <w:pPr>
        <w:spacing w:after="0" w:line="17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Any of the above events, should they happen, could adversely affect our development timelines and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14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30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Any microbial contamination in the manufacturing process for our viral vectors or drug product, shortages of raw materials or failure of any of our key suppliers to deliver necessary components could result in delays in our clinical development or marketing schedules.</w:t>
      </w:r>
    </w:p>
    <w:p>
      <w:pPr>
        <w:spacing w:after="0" w:line="3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Given the nature of biologics manufacturing, there is a risk of microbial contamination. Any microbial contamination could adversely affect our ability to produce, release or administer our gene therapies on schedule and could, therefore, harm our results of operations and cause reputational damage. Additionally, although our gene therapies are tested for microbial contamination prior to release, if a contaminated product was administered to a patient, it could result in harm to the patient.</w:t>
      </w:r>
    </w:p>
    <w:p>
      <w:pPr>
        <w:spacing w:after="0" w:line="18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our vectors or drug product could adversely impact or disrupt the commercial manufacturing or the production of clinical material, which could adversely affect our development timelines and our business, financial condition, results of operations and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Interruptions in the supply of viral vectors and/or drug products or inventory loss may harm our operating results and financial condition.</w:t>
      </w:r>
    </w:p>
    <w:p>
      <w:pPr>
        <w:spacing w:after="0" w:line="129"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Our viral vectors and drug products are manufactured using technically complex processes in specialized facilities, sometimes using specialized equipment with highly specific raw materials and other production constraints. The complexity of these processes, as well as strict government standards for the manufacture and storage of our gene therapies, subjects us to manufacturing risks. While viral vectors and drug product released for use in clinical trials or for commercialization undergo sample testing, some defects may only be identified following their release. In addition, process deviations or unanticipated effects of approved process changes may result in viral vector and/or drug product not complying with stability requirements or specifications. Our viral vectors and drug product must be stored and transported at temperatures within a certain range. If these environmental conditions deviate, our viral vectors and drug products’ remaining shelf-lives could be impaired or their efficacy and safety could be negatively impacted, making them no longer suitable for use. For example, patients’ cellular material must be received by the manufacturing facility typically within three days after collection, and our gene therapy must be received by the clinical site typically within ten days after shipping from the manufacturing facility. 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due to transportation or other delays, including delays or disruptions resulting from the impact of the COVID-19 pandemic, or the loss thereof could hinder our ability to timely distribute our products and satisfy customer demand. Any unforeseen failure in the storage of the viral vectors or drug products or loss in supply could delay our clinical trials and result in a loss of our market share for our commercial products or our product candidates, if approved, and negatively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cryopreserved product candidates require specific storage, handling and administration at the clinical sites.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Our cryopreserved product candidates must be stored at very low temperatures in specialized freezers or specialized shipping containers until immediately prior to use. For administration, the cryopreserved drug product container must be carefully removed from storage, and rapidly thawed under controlled temperature conditions in an area proximal to the patient’s bedside and administered into the patient. The handling, thawing and administration of the cryopreserved gene therapy product must be performed according to specific instructions, typically using specific disposables and in some steps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3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in the past, and in the future we may, enter into collaborations with third parties to develop or commercialize product candidates. If these collaborations are not successful, our business could be adversely affected.</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entered into licensing and collaboration agreements with third parties, including the GSK Agreement, pursuant to which GSK transferred to us Strimvelis, Libmeldy (OTL-200), OTL-103 for WAS and OTL-300 for TDT. In addition, GSK novated to us their R&amp;D and collaboration and license agreement, or the R&amp;D Agreement, with Telethon-OSR. These agreements impose, and we expect that future license agreements will impose, various due diligence, milestone payment, royalty, insurance and other obligations on us. The termination of these agreements could result in our loss of rights to practice the intellectual property licensed to us under these agreements and could compromise our development and commercialization efforts for our current or any future product candidates.</w:t>
      </w:r>
    </w:p>
    <w:p>
      <w:pPr>
        <w:spacing w:after="0" w:line="19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We also entered into a collaboration with Pharming Group N.V. (“Pharming”), pursuant to which Pharming was granted worldwide rights to OTL-105, an investigational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autologous hematopoietic stem cell gene therapy for the treatment of hereditary angioedema. The Company will lead the completion of IND-enabling activities and oversee manufacturing of OTL-105 during preclinical and clinical development, which will be funded by Pharming.</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may enter into additional collaborations in the future. We have limited control over the amount and timing of resources that our current and future collaborators dedicate to the development or commercialization of our product candidates. Our ability to generate revenues from these arrangements will depend on our and our collaborators’ abilities to successfully perform the functions assigned to each of us in these arrangements. Moreover, an unsuccessful outcome in any clinical trial for which our collaborator is responsible could be harmful to the public perception and prospects of our gene therapy platform.</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color w:val="auto"/>
        </w:rPr>
        <w:t>Any collaborations we enter into in the future may pose several risks, including the following:</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achieve any milestones, or receive any payments, under our collaborations, including milestones or payments that we expect to achieve or receive;</w:t>
      </w: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trials conducted as part of these collaborations may not be successful;</w:t>
      </w:r>
    </w:p>
    <w:p>
      <w:pPr>
        <w:spacing w:after="0" w:line="9" w:lineRule="exact"/>
        <w:rPr>
          <w:rFonts w:ascii="Arial" w:cs="Arial" w:eastAsia="Arial" w:hAnsi="Arial"/>
          <w:sz w:val="18"/>
          <w:szCs w:val="18"/>
          <w:color w:val="auto"/>
        </w:rPr>
      </w:pPr>
    </w:p>
    <w:p>
      <w:pPr>
        <w:ind w:left="1000" w:hanging="493"/>
        <w:spacing w:after="0" w:line="265"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ind w:left="1000" w:right="42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testing;</w:t>
      </w:r>
    </w:p>
    <w:p>
      <w:pPr>
        <w:ind w:left="1000" w:right="4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 w:lineRule="exact"/>
        <w:rPr>
          <w:rFonts w:ascii="Arial" w:cs="Arial" w:eastAsia="Arial" w:hAnsi="Arial"/>
          <w:sz w:val="18"/>
          <w:szCs w:val="18"/>
          <w:color w:val="auto"/>
        </w:rPr>
      </w:pPr>
    </w:p>
    <w:p>
      <w:pPr>
        <w:ind w:left="1000" w:right="4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1000" w:right="140" w:hanging="493"/>
        <w:spacing w:after="0" w:line="28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6"/>
          <w:szCs w:val="16"/>
          <w:color w:val="auto"/>
        </w:rPr>
      </w:pPr>
    </w:p>
    <w:p>
      <w:pPr>
        <w:ind w:left="1000" w:right="48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ind w:left="1000" w:right="100" w:hanging="493"/>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 w:lineRule="exact"/>
        <w:rPr>
          <w:rFonts w:ascii="Arial" w:cs="Arial" w:eastAsia="Arial" w:hAnsi="Arial"/>
          <w:sz w:val="18"/>
          <w:szCs w:val="18"/>
          <w:color w:val="auto"/>
        </w:rPr>
      </w:pPr>
    </w:p>
    <w:p>
      <w:pPr>
        <w:ind w:left="1000" w:right="100" w:hanging="493"/>
        <w:spacing w:after="0" w:line="28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20" w:lineRule="exact"/>
        <w:rPr>
          <w:rFonts w:ascii="Arial" w:cs="Arial" w:eastAsia="Arial" w:hAnsi="Arial"/>
          <w:sz w:val="17"/>
          <w:szCs w:val="17"/>
          <w:color w:val="auto"/>
        </w:rPr>
      </w:pPr>
    </w:p>
    <w:p>
      <w:pPr>
        <w:ind w:left="1000" w:right="20" w:hanging="493"/>
        <w:spacing w:after="0" w:line="26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such collaborations.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Quarterly Report apply to the activities of our collaborators.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in the future decide to collaborate with other pharmaceutical and biotechnology companies for the development and potential commercialization of additional product candidates. These relationships, or those like them, may require us to incur non-recurring and other charges, increase our near- and long-term expenditures, issue securities that dilute our existing shareholders or disrupt our management and business. In addition, we could face significant competition in seeking appropriate collaborators and the negotiation process will likely be time-consuming and complex. Our ability to reach a definitive collaboration agreement in such instances will depend, among other things, upon our assessment of the collaborator’s resources and expertise, the terms and conditions of the proposed collaboration and the proposed collaborator’s evaluation of several factors. If we license rights to additional product candidates, we may not be able to realize the benefit of such transactions if we are unable to successfully integrate them with our existing operations and company culture.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not able to independently manufacture material for our planned clinical programs or our commercial supply of Libmeldy, Strimvelis or any other product for which we obtain marketing approval, if any, and we do not expect to be able to in the foreseeable future. We currently rely on our CDMOs and in some cases academic partners for the production of our viral vectors and product candidates for our ongoing registrational and clinical trials and preclinical studies. For future clinical trials and for Libmeldy and other products for which we obtain marketing approval, if any, we intend to utilize materials manufactured by CDMOs. If our academic partners or these CDMOs do not successfully carry out their contractual duties, meet expected deadlines or manufacture our viral vector and product candidates in accordance with regulatory requirements or if there are disagreements between us and our academic partners or these CDMOs, we will not be able to complete, or may be delayed in completing, the preclinical studies and clinical trials required to support approval of our product candidates or the FDA, EMA or other regulatory agencies may refuse to accept our clinical or preclinical data. In such instances, we may need to enter into an appropriate third-party relationship, which may not be readily available or available on acceptable terms. This could cause additional delay or increased expense prior to the approval of our product candidates and could have a negative impact on our business, financial condition, results of operations and prospects.</w:t>
      </w:r>
    </w:p>
    <w:p>
      <w:pPr>
        <w:spacing w:after="0" w:line="18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partner with CDMOs and intend to utilize viral vectors and gene therapy products manufactured by CDMOs for our future clinical trials and products for which we obtain marketing approval. In some cases, we may need to perform clinical or analytical or other animal or cell-based testing to demonstrate that materials produced by these CDMOs, or any other third-party manufacturer that we engage, is comparable to the material produced by our academic partners and utilized in our registrational and clinical trials of our product candidates. There is no assurance that these CDMOs, or any other future third-party manufacturer that we engage, will be successful in producing any or all of our viral vector or product candidates, that any such product will, if required, pass the required comparability testing, or that any materials produced by these CDMOs or any other third-party manufacturer that we engage will have the same effect in patients that we have observed to date with respect to materials produced by our academic partners.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to produce our product candidates. Furthermore, demand for CDMO cGMP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86"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Under certain circumstances, our current CDMOs may terminate their engagements with us. If we need to enter into alternative arrangements, it could delay our development activities. Our reliance on our CDMOs for certain manufacturing activities will reduce our control over these activities but will not relieve us of our responsibility to ensure compliance with all required regulations.</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addition to our current CDMOs, we may rely on additional third parties to manufacture our viral vectors and/or drug products in the future and to perform quality testing. Reliance on these third parties entails risks that we would not be subject to if we manufactured the product candidates ourselves, including:</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23" w:lineRule="exact"/>
        <w:rPr>
          <w:rFonts w:ascii="Arial" w:cs="Arial" w:eastAsia="Arial" w:hAnsi="Arial"/>
          <w:sz w:val="18"/>
          <w:szCs w:val="18"/>
          <w:color w:val="auto"/>
        </w:rPr>
      </w:pPr>
    </w:p>
    <w:p>
      <w:pPr>
        <w:ind w:left="1000" w:right="180" w:hanging="493"/>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ind w:left="1000" w:right="120" w:hanging="493"/>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 or the COVID-19 global pandemic or similar future pandemics or disruptions.</w:t>
      </w:r>
    </w:p>
    <w:p>
      <w:pPr>
        <w:spacing w:after="0" w:line="190"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Any of these events could lead to clinical trial delays,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our preclinical studies and clinical trials, including in some instances sponsoring such clinical trials, and to monitor and manage data for our ongoing preclinical and clinical programs. As one example, OTL-102 for X-CGD is currently being investigated in ongoing academic-sponsored clinical trials at Boston Children’s Hospital, the NIH and UCLA in the United States,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t>GOSH in Europe. While we will have agreements governing the activities of our academic partners and CROs, we will control only certain aspects of their activities and have limited influence over their actual performance.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Nevertheless, we are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GLP and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The FDA, EMA or comparable foreign regulatory authorities may deem the clinical data generated in our clinical trials unreliable and may require us to perform additional clinical trials before approving our marketing applications if, among other things, we fail to exercise adequate oversight over any of our academic partners or CROs or if our academic partners or CROs do not successfully carry out their respective contractual duties or obligations, fail to meet expected deadlines or if the quality or accuracy of the clinical data they obtain is compromised due to the failure to adhere to our clinical protocols or regulatory requirements. We cannot assure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 As a result, our financial results and the commercial prospects for our product candidates would be harmed, our costs could increase, and our ability to generate revenues could be delayed.</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do not control the design or conduct of the academic-sponsored trials, and it is possible that the FDA or EMA will not view these academic-sponsored trials as providing adequate support for future clinical trials or market approval, whether controlled by us or third parties, for any one or more reasons, including elements of the design or execution of the trials or safety concerns or other trial results. Such arrangements provide us certain information rights with respect to the academic-sponsored trials, including access to and the ability to use and reference the data, including for our own regulatory submissions, resulting from the academic-sponsored trials. However, we do not have control over the timing and reporting of the data from academic-sponsored trials, nor do we own the data from the academic-sponsored trials. If we are unable to confirm or replicate the results from the academic-sponsored trials or if negative results are obtained, we would likely be further delayed or prevented from advancing further clinical development of OTL-201 for MPS-IIIA, OTL-203 for MPS-IH and OTL-102 for X-CGD or any other product candidate investigated in an academic-sponsored clinical trial. Further, if investigators or institutions breach their obligations with respect to the clinical development of our product candidates or if the data proves to be inadequate compared to the first-hand knowledge we might have gained had the academic-sponsored trials been sponsored and conducted by us, then our ability to design and conduct any future clinical trials ourselves may be adversely affected.</w:t>
      </w:r>
    </w:p>
    <w:p>
      <w:pPr>
        <w:spacing w:after="0" w:line="17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Additionally, the FDA or EMA may disagree with the sufficiency of our right of reference to the preclinical, manufacturing or clinical data generated by these academic-sponsored trials or our interpretation of preclinical, manufacturing or clinical data from these academic-sponsored trials. If so, the FDA or EMA may require us to obtain and submit additional preclinical, manufacturing or clinical data.</w:t>
      </w:r>
    </w:p>
    <w:p>
      <w:pPr>
        <w:spacing w:after="0" w:line="29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and our contract manufacturers are subject to significant regulation with respect to manufacturing our viral vectors and drug products. The manufacturing facilities on which we rely may not continue to meet regulatory requirements and have limited capacity.</w:t>
      </w:r>
    </w:p>
    <w:p>
      <w:pPr>
        <w:spacing w:after="0" w:line="1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drug products.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CDMOs for our viral vectors and drug product, are subject to extensive regulation. Components of a finished therapeutic product approved for commercial sale or used in clinical trials, including in some cases critical raw materials used in the manufacture thereof, must be manufactured in accordance with cGMP. Poor control of production processes can lead to the introduction of adventitious agents or other contaminants, or to inadvertent changes in the properties or stability of our viral vectors or product candidates that may not be detectable in final product testing. We or our CDMOs must supply all necessary documentation in support of a BLA or MAA on a timely basis and must adhere to the FDA’s and EMA’s cGMP and other applicable regulations that are enforced through facilities inspection programs. Some of our CDMOs have not produced a commercially-approved product and have never been inspected by the FDA or other regulatory body. Our quality systems and the facilities and quality systems of some or all of our CDMOs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8" w:name="page69"/>
    <w:bookmarkEnd w:id="68"/>
    <w:p>
      <w:pPr>
        <w:ind w:right="180"/>
        <w:spacing w:after="0" w:line="277" w:lineRule="auto"/>
        <w:rPr>
          <w:sz w:val="20"/>
          <w:szCs w:val="20"/>
          <w:color w:val="auto"/>
        </w:rPr>
      </w:pPr>
      <w:r>
        <w:rPr>
          <w:rFonts w:ascii="Arial" w:cs="Arial" w:eastAsia="Arial" w:hAnsi="Arial"/>
          <w:sz w:val="18"/>
          <w:szCs w:val="18"/>
          <w:color w:val="auto"/>
        </w:rPr>
        <w:t>involved with the preparation of our viral vector or drug product or our other potential products or the associated quality systems for compliance with the regulations applicable to the activities being conducted.</w:t>
      </w:r>
    </w:p>
    <w:p>
      <w:pPr>
        <w:spacing w:after="0" w:line="170"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or any of our CDMOs fail to maintain regulatory compliance, the FDA can impose regulatory sanctions including, among other things, refusal to approve a pending application for a new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These factors could cause the delay of clinical trials, regulatory submissions, required approvals of our product candidates or commercialization of our commercial products or product candidates, if approved, and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studies and clinical trials may be delayed.</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As a result of the COVID-19 pandemic, we may experience supply shortages from some of our suppliers. Any disruption in supply from any supplier or manufacturing location could lead to supply delays or interruptions which would damage our business, financial condition, results of operations and prospects.</w:t>
      </w:r>
    </w:p>
    <w:p>
      <w:pPr>
        <w:spacing w:after="0" w:line="18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46" w:lineRule="exact"/>
        <w:rPr>
          <w:rFonts w:ascii="Arial" w:cs="Arial" w:eastAsia="Arial" w:hAnsi="Arial"/>
          <w:sz w:val="16"/>
          <w:szCs w:val="16"/>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w:t>
      </w:r>
    </w:p>
    <w:p>
      <w:pPr>
        <w:spacing w:after="0" w:line="32" w:lineRule="exact"/>
        <w:rPr>
          <w:rFonts w:ascii="Arial" w:cs="Arial" w:eastAsia="Arial" w:hAnsi="Arial"/>
          <w:sz w:val="16"/>
          <w:szCs w:val="16"/>
          <w:color w:val="auto"/>
        </w:rPr>
      </w:pPr>
    </w:p>
    <w:p>
      <w:pPr>
        <w:ind w:left="1000" w:hanging="493"/>
        <w:spacing w:after="0" w:line="250"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interruptions, shortages, delivery delays and potential discontinuation of supply as a result of the ongoing COVID-19 global pandemic, or any recurrence of the pandemic or future pandemics; and</w:t>
      </w: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1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Because we currently rely on third parties to manufacture our vectors and our commercial products and product candidates, and because we collaborate with various organizations and academic institutions on the advancement of our gene therapy approach, we must, at times, share trade secrets with such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20" w:firstLine="51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36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are unable to establish effective sales and marketing capabilities or enter into agreements with third parties to market, sell and gain reimbursement for Libmeldy and our product candidates that may be approved, we may not be successful in commercializing Libmeldy or our product candidates if and when approved, and we may be unable to generate any product revenue.</w:t>
      </w:r>
    </w:p>
    <w:p>
      <w:pPr>
        <w:spacing w:after="0" w:line="16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 xml:space="preserve">We intend to commercialize our product candidates, if approved, in the United States, Europe, and other markets, and we are currently undertaking preparations for our commercial launch of Libmeldy in Europe. We intend to commercialize Libmeldy and our other product candidates, if approved, directly with specialized teams, given the relative rarity of the indications we are targeting. </w:t>
      </w:r>
      <w:r>
        <w:rPr>
          <w:rFonts w:ascii="Arial" w:cs="Arial" w:eastAsia="Arial" w:hAnsi="Arial"/>
          <w:sz w:val="17"/>
          <w:szCs w:val="17"/>
          <w:color w:val="212529"/>
        </w:rPr>
        <w:t>Although we have substantially built out our initial commercial</w:t>
      </w:r>
      <w:r>
        <w:rPr>
          <w:rFonts w:ascii="Arial" w:cs="Arial" w:eastAsia="Arial" w:hAnsi="Arial"/>
          <w:sz w:val="17"/>
          <w:szCs w:val="17"/>
          <w:color w:val="auto"/>
        </w:rPr>
        <w:t xml:space="preserve"> </w:t>
      </w:r>
      <w:r>
        <w:rPr>
          <w:rFonts w:ascii="Arial" w:cs="Arial" w:eastAsia="Arial" w:hAnsi="Arial"/>
          <w:sz w:val="17"/>
          <w:szCs w:val="17"/>
          <w:color w:val="212529"/>
        </w:rPr>
        <w:t xml:space="preserve">infrastructure in preparation for our commercial launch of Libmeldy in Europe, we are continuing to build out our commercial capabilities and infrastructure and </w:t>
      </w:r>
      <w:r>
        <w:rPr>
          <w:rFonts w:ascii="Arial" w:cs="Arial" w:eastAsia="Arial" w:hAnsi="Arial"/>
          <w:sz w:val="17"/>
          <w:szCs w:val="17"/>
          <w:color w:val="000000"/>
        </w:rPr>
        <w:t>have a limited marketing and sales team for the marketing, sales and distribution of Strimvelis, Libmeldy and our product candidates, if</w:t>
      </w:r>
      <w:r>
        <w:rPr>
          <w:rFonts w:ascii="Arial" w:cs="Arial" w:eastAsia="Arial" w:hAnsi="Arial"/>
          <w:sz w:val="17"/>
          <w:szCs w:val="17"/>
          <w:color w:val="212529"/>
        </w:rPr>
        <w:t xml:space="preserve"> </w:t>
      </w:r>
      <w:r>
        <w:rPr>
          <w:rFonts w:ascii="Arial" w:cs="Arial" w:eastAsia="Arial" w:hAnsi="Arial"/>
          <w:sz w:val="17"/>
          <w:szCs w:val="17"/>
          <w:color w:val="000000"/>
        </w:rPr>
        <w:t xml:space="preserve">approved. In order to commercialize Libmeldy, Strimvelis and OTL-103 for WAS, if approved, or any of our other product candidates that may be approved, we must continue to build and expand, on a territory-by-territory basis, marketing, sales, distribution, managerial and other capabilities or make arrangements with third parties to perform these services, and we may not be successful in doing so. </w:t>
      </w:r>
      <w:r>
        <w:rPr>
          <w:rFonts w:ascii="Arial" w:cs="Arial" w:eastAsia="Arial" w:hAnsi="Arial"/>
          <w:sz w:val="17"/>
          <w:szCs w:val="17"/>
          <w:color w:val="212529"/>
        </w:rPr>
        <w:t>If we are unable to establish sufficient commercial</w:t>
      </w:r>
      <w:r>
        <w:rPr>
          <w:rFonts w:ascii="Arial" w:cs="Arial" w:eastAsia="Arial" w:hAnsi="Arial"/>
          <w:sz w:val="17"/>
          <w:szCs w:val="17"/>
          <w:color w:val="000000"/>
        </w:rPr>
        <w:t xml:space="preserve"> </w:t>
      </w:r>
      <w:r>
        <w:rPr>
          <w:rFonts w:ascii="Arial" w:cs="Arial" w:eastAsia="Arial" w:hAnsi="Arial"/>
          <w:sz w:val="17"/>
          <w:szCs w:val="17"/>
          <w:color w:val="212529"/>
        </w:rPr>
        <w:t>capabilities and infrastructure, we may be unable to generate sufficient revenue to sustain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firstLine="510"/>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commercial organization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Libmeldy and our product candidates, if approved, on our own include:</w:t>
      </w:r>
    </w:p>
    <w:p>
      <w:pPr>
        <w:spacing w:after="0" w:line="11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recruit, train and retain adequate numbers of effective sales and marketing personnel;</w:t>
      </w:r>
    </w:p>
    <w:p>
      <w:pPr>
        <w:spacing w:after="0" w:line="23"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that we may develop;</w:t>
      </w: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or setbacks at treatment centers contracted for the administration of any approved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adverse events;</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 and</w:t>
      </w: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212529"/>
        </w:rPr>
        <w:t>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46"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28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we are unable to expand our market development capabilities or enter into agreements with third parties to market, sell and gain reimbursement for Libmeldy and any of our product candidates for which we obtain marketing approval, we will be unable to generate any product revenue.</w:t>
      </w:r>
    </w:p>
    <w:p>
      <w:pPr>
        <w:spacing w:after="0" w:line="1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To successfully commercialize Libmeldy and any products that may result from our development programs, we need to continue to expand our market development capabilities, either on our own or with others. The development of our own marketing capabilities is, and will continue to be, expensive and time-consuming and could delay any product launch, including our planned launch of Libmeldy in Europe.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if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 party to perform marketing and sales functions, we may be unable to compete successfully against these more established companies.</w:t>
      </w:r>
    </w:p>
    <w:p>
      <w:pPr>
        <w:spacing w:after="0" w:line="290"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commercial products or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 including new areas that we may target as part of our strategic initiatives.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140" w:firstLine="510"/>
        <w:spacing w:after="0" w:line="287" w:lineRule="auto"/>
        <w:rPr>
          <w:sz w:val="20"/>
          <w:szCs w:val="20"/>
          <w:color w:val="auto"/>
        </w:rPr>
      </w:pPr>
      <w:r>
        <w:rPr>
          <w:rFonts w:ascii="Arial" w:cs="Arial" w:eastAsia="Arial" w:hAnsi="Arial"/>
          <w:sz w:val="16"/>
          <w:szCs w:val="16"/>
          <w:color w:val="auto"/>
        </w:rPr>
        <w:t xml:space="preserve">We rely primarily on know-how and trade secret protection for aspects of our proprietary technologies, Libmeldy, Strimvelis and our product candidates. We do not have any issued patents covering Libmeldy, Strimvelis or our product candidates. This means that barriers to entry that typically apply in the case of pharmaceutical and biopharmaceutical companies with issued patents covering aspects of their proprietary technologies, products and product candidates, such as composition of matter claims, will generally not apply to our commercial products or our product candidates, and this may expose us to competition from other biopharmaceutical companies, particularly those companies that possess greater financial resources and more mature product candidate development, manufacturing, marketing and distribution resources than we do. Although our product candidates, if approved, may be eligible for marketing and/or data exclusivities in, for example, the United States and Europe, these exclusivities would not prevent another biopharmaceutical company from conducting its own clinical trials to develop and seek regulatory approval of a competitive product. We are not the only company that is developing and commercializing products using a lentiviral-based autologous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approach, and these competitive approaches may be comparable or superior to our approach. One or more of these companies may seek to develop products that compete directly with our commercial products or one or more of our product candidates, the result of which could have a material adverse effect on our business. In addition, many universities and private and public research institutes are active in our target disease areas.</w:t>
      </w:r>
    </w:p>
    <w:p>
      <w:pPr>
        <w:spacing w:after="0" w:line="168"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If the size and value of the market opportunities for our commercial products or product candidates are smaller than our estimates, or if we have difficulty in finding patients that meet eligibility requirements for Libmeldy, Strimvelis or any of our product candidates, if approved, our product revenues may be adversely affected and our business may suffer.</w:t>
      </w:r>
    </w:p>
    <w:p>
      <w:pPr>
        <w:spacing w:after="0" w:line="184"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We focus our research and product development on treatments for immunological disorders and inherited neurometabolic and neurodegenerative genetic disorders. We base our market opportunity estimates on a variety of factors, including our estimates of the number of people who have these diseases, the potential scope of our approved product labels, the subset of people with these diseases who have the potential to benefit from treatment with our product candidates, various pricing scenarios, and our understanding of reimbursement policies for rare diseases in particular countries. These estimates are based on many assumptions and may prove to be incorrect, and new studies may reduce the estimated incidence or prevalence of these diseases. Estimating market opportunities can be particularly challenging for ultra-rare indications, such as the ones we currently address, as epidemiological data is often more limited than for more prevalent indications and can require additional assumptions to assess potential patient populations. For example, as we advance our product candidates towards commercialization, learn more about market dynamics and engage with regulators on potential marketing approvals, our view of the initial potential market opportunity for our products will become more refined. In some cases, the approved label may initially be directed to a narrower patient population with the opportunity to expand the label upon submission of additional clinical data. For example, in the case of Libmeldy, we are initially focused primarily on annual incidence of the disease, and in the case of OTL-103 for WAS we are initially focused primarily on prevalence of the disease. In each case this means the initial market opportunity for these product candidates may be smaller than the total addressable market opportunity that could be achieved over time. If we are unable to advance product candidates with attractive market opportunities, our future product revenues may be smaller than anticipated and our business may suffer. Patient identification efforts also influence the ability to address a patient population. If efforts in patient identification are unsuccessful or less impactful than anticipated, for instance, because of a lack of newborn screening or diagnostic initiatives, inadequate disease awareness among healthcare providers, or otherwise, we may not address the entirety of the opportunity we are seeking. As a result, patients may be difficult to identify and access, the addressable patient population in the United States, Europe and elsewhere may turn out to be lower than expected, or patients may not be otherwise amenable to treatment with our products, all of which would adversely affect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payors and others in the medical community.</w:t>
      </w:r>
    </w:p>
    <w:p>
      <w:pPr>
        <w:spacing w:after="0" w:line="62" w:lineRule="exact"/>
        <w:rPr>
          <w:sz w:val="20"/>
          <w:szCs w:val="20"/>
          <w:color w:val="auto"/>
        </w:rPr>
      </w:pPr>
    </w:p>
    <w:p>
      <w:pPr>
        <w:jc w:val="both"/>
        <w:ind w:right="160" w:firstLine="510"/>
        <w:spacing w:after="0" w:line="301" w:lineRule="auto"/>
        <w:rPr>
          <w:sz w:val="20"/>
          <w:szCs w:val="20"/>
          <w:color w:val="auto"/>
        </w:rPr>
      </w:pPr>
      <w:r>
        <w:rPr>
          <w:rFonts w:ascii="Arial" w:cs="Arial" w:eastAsia="Arial" w:hAnsi="Arial"/>
          <w:sz w:val="16"/>
          <w:szCs w:val="16"/>
          <w:color w:val="auto"/>
        </w:rPr>
        <w:t>Even if we obtain any regulatory approval for our product candidates, the commercial success of our product candidates will depend in part on the medical community, patients, and payors accepting gene therapy products in general, and our product candidates in particular, as effective, safe and cost-effective. Any product that we bring to the market may not gain market acceptance by physicians, patients, payors and others in the medical community. The degree of market acceptance of these product candidates, if approved for commercial sale, will depend on a number of factors, including:</w:t>
      </w:r>
    </w:p>
    <w:p>
      <w:pPr>
        <w:spacing w:after="0" w:line="49"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frequency and severity of any side effects, including any limitations or warnings contained in a product’s approved labeling;</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frequency and severity of any side effects resulting from the conditioning regimen or follow-up requirements for the administration of our product candidates;</w:t>
      </w: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1" w:lineRule="exact"/>
        <w:rPr>
          <w:sz w:val="20"/>
          <w:szCs w:val="20"/>
          <w:color w:val="auto"/>
        </w:rPr>
      </w:pPr>
    </w:p>
    <w:p>
      <w:pPr>
        <w:ind w:right="380" w:firstLine="510"/>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market approval. In the United States and markets in other countries, patients generally rely on third-party payors to reimburse all or part of the costs associated with their treatment. 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covered and paid by health maintenance, managed care, pharmacy benefit and similar healthcare management organizations, or reimbursed by government health administration authorities, private health coverage insurers and other payors. If coverage and adequate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73"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may not be able to provide data sufficient to gain acceptance with respect to coverage and reimbursement. If reimbursement is not available, or is available only at limited levels, we may not be able to successfully commercialize our product candidates, if approved. The process for determining whether a payor will provide coverage for a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gene therapies could reduce physician utilization of our products once approved and have a material adverse effect on our sales, results of operations and financial condition.</w:t>
      </w:r>
    </w:p>
    <w:p>
      <w:pPr>
        <w:spacing w:after="0" w:line="17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coverage and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 Factors payors consider in determining reimbursement are based on whether the product is:</w:t>
      </w:r>
    </w:p>
    <w:p>
      <w:pPr>
        <w:spacing w:after="0" w:line="70"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Outside the United States, certain countries, including a number of member states of the European Union, set prices and reimbursement for pharmaceutical products, or medicinal products, as they are commonly referred to in the European Union,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Some countries may also require the completion of clinical trials that compare the cost effectiveness of a particular product candidate to currently available therapies.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6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Moreover, efforts by governmental and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We are targeting rare diseases for which the patient populations are relatively small. In addition, treatment with any of our product candidates involves only a single administration. As a result, the pricing and reimbursement of our product candidates, if approved, must be adequate to support commercial infrastructure. It is possible that commercially available products may serve as a reference price that, for various reasons, may be lower than the price we need to obtain for our product candidates. If we are unable to obtain adequate levels of reimbursement, our ability to successfully market and sell our product candidates will be adversely affected. The manner and level at which reimbursement is provided for services related to our product candidates (</w:t>
      </w:r>
      <w:r>
        <w:rPr>
          <w:rFonts w:ascii="Arial" w:cs="Arial" w:eastAsia="Arial" w:hAnsi="Arial"/>
          <w:sz w:val="16"/>
          <w:szCs w:val="16"/>
          <w:i w:val="1"/>
          <w:iCs w:val="1"/>
          <w:color w:val="auto"/>
        </w:rPr>
        <w:t>e.g.</w:t>
      </w:r>
      <w:r>
        <w:rPr>
          <w:rFonts w:ascii="Arial" w:cs="Arial" w:eastAsia="Arial" w:hAnsi="Arial"/>
          <w:sz w:val="16"/>
          <w:szCs w:val="16"/>
          <w:color w:val="auto"/>
        </w:rPr>
        <w:t>, for administration of our product to patients) is also important. Inadequate reimbursement for such services may lead to physician resistance and adversely affect our ability to market or sell our product candidates, if approved.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impact of COVID-19</w:t>
      </w:r>
    </w:p>
    <w:p>
      <w:pPr>
        <w:spacing w:after="0" w:line="3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COVID-19 pandemic or similar public health crises have caused and may cause or continue to cause a disruption to the development of our product candidates and adversely impact our business.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Public health crises such as pandemics or similar outbreaks can adversely impact our business. The COVID-19 global pandemic has caused significant disruptions to the U.S. and global economies, has contributed to significant volatility and negative pressure in financial markets, and has led to the implementation of various responses, including government-imposed quarantines, travel restrictions and other public health safety measures, which have impacted various aspects of our business and our operations and are likely to continue to impact our operations. The extent to which the COVID-19 global pandemic impacts our operations, or those of our third-party partners, will depend on future developments, which are highly uncertain and cannot be predicted with confidence. Such developments include the duration of the pandemic and related disruptions, renewed outbreaks in the future, including different strains of the virus, the ability to distribute and deliver approved vaccines and boosters on a timely basis and the uptake and effectiveness of such vaccines, new information that may emerge concerning the severity of the pandemic and other actions to contain the coronavirus or treat its impact, among others.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4" w:name="page75"/>
    <w:bookmarkEnd w:id="74"/>
    <w:p>
      <w:pPr>
        <w:ind w:firstLine="510"/>
        <w:spacing w:after="0" w:line="271" w:lineRule="auto"/>
        <w:rPr>
          <w:sz w:val="20"/>
          <w:szCs w:val="20"/>
          <w:color w:val="auto"/>
        </w:rPr>
      </w:pPr>
      <w:r>
        <w:rPr>
          <w:rFonts w:ascii="Arial" w:cs="Arial" w:eastAsia="Arial" w:hAnsi="Arial"/>
          <w:sz w:val="17"/>
          <w:szCs w:val="17"/>
          <w:color w:val="auto"/>
        </w:rPr>
        <w:t>In response to the pandemic, we implemented a work from home policy. Most of our administrative employees continue to work outside of our offices, and we have reduced on-site staff significantly and, in some cases, restricted on-site staff to only those required to execute certain laboratory and related support activities. Continued remote working could have a variety of impacts on our business, including increasing our cyber security risk, creating data accessibility concerns, and making us more susceptible to communication disruptions, any of which could adversely impact our business operations or delay necessary interactions with regulators, manufacturing sites and clinical trial sites. We may also experience difficulty in recruiting and onboarding new employees. In addition, as a result of continued or renewed restrictions, our on-site staff conducting research and development, preclinical studies, and manufacturing activities may not be able to access our laboratories or manufacturing space, and these core activities may be significantly limited or curtailed, possibly for an extended period of time.</w:t>
      </w:r>
    </w:p>
    <w:p>
      <w:pPr>
        <w:spacing w:after="0" w:line="17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We are conducting clinical trials for our product candidates in the United States and Europe, which are currently being affected by the COVID-19 pandemic and will likely continue to be affected. Our clinical sites have devoted significant resources to patients with COVID-19, which could limit their ability to enroll additional patients in ongoing clinical trials or follow-up with existing patients. Some factors from the COVID-19 pandemic that have delayed and may continue to delay or otherwise adversely affect enrollment in or the progress of our clinical trials for some or all of our product candidates, as well as our business generally, include:</w:t>
      </w:r>
    </w:p>
    <w:p>
      <w:pPr>
        <w:spacing w:after="0" w:line="93" w:lineRule="exact"/>
        <w:rPr>
          <w:sz w:val="20"/>
          <w:szCs w:val="20"/>
          <w:color w:val="auto"/>
        </w:rPr>
      </w:pPr>
    </w:p>
    <w:p>
      <w:pPr>
        <w:jc w:val="both"/>
        <w:ind w:left="1000" w:right="6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or academic centers serving as our clinical trial sites and staff supporting the conduct of our clinical trials;</w:t>
      </w:r>
    </w:p>
    <w:p>
      <w:pPr>
        <w:spacing w:after="0" w:line="89" w:lineRule="exact"/>
        <w:rPr>
          <w:rFonts w:ascii="Arial" w:cs="Arial" w:eastAsia="Arial" w:hAnsi="Arial"/>
          <w:sz w:val="18"/>
          <w:szCs w:val="18"/>
          <w:color w:val="auto"/>
        </w:rPr>
      </w:pPr>
    </w:p>
    <w:p>
      <w:pPr>
        <w:ind w:left="1000" w:right="40" w:hanging="493"/>
        <w:spacing w:after="0" w:line="30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limitations on travel that could interrupt treatment center qualification,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49" w:lineRule="exact"/>
        <w:rPr>
          <w:rFonts w:ascii="Arial" w:cs="Arial" w:eastAsia="Arial" w:hAnsi="Arial"/>
          <w:sz w:val="16"/>
          <w:szCs w:val="16"/>
          <w:color w:val="auto"/>
        </w:rPr>
      </w:pPr>
    </w:p>
    <w:p>
      <w:pPr>
        <w:ind w:left="1000" w:right="4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1000" w:right="160" w:hanging="493"/>
        <w:spacing w:after="0" w:line="25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disruptions or delays in subleasing any leased facilities no longer required for our business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79" w:lineRule="exact"/>
        <w:rPr>
          <w:rFonts w:ascii="Arial" w:cs="Arial" w:eastAsia="Arial" w:hAnsi="Arial"/>
          <w:sz w:val="18"/>
          <w:szCs w:val="18"/>
          <w:color w:val="auto"/>
        </w:rPr>
      </w:pPr>
    </w:p>
    <w:p>
      <w:pPr>
        <w:ind w:left="1000" w:right="2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business disruptions involving our third parties on whom we rely, including CROs and other collaborators for the conduct of our clinical trials or our third-party suppliers or CDMOs, which could impact their ability to perform adequately or disrupt our supply chain; and</w:t>
      </w:r>
    </w:p>
    <w:p>
      <w:pPr>
        <w:spacing w:after="0" w:line="38" w:lineRule="exact"/>
        <w:rPr>
          <w:rFonts w:ascii="Arial" w:cs="Arial" w:eastAsia="Arial" w:hAnsi="Arial"/>
          <w:sz w:val="17"/>
          <w:szCs w:val="17"/>
          <w:color w:val="auto"/>
        </w:rPr>
      </w:pPr>
    </w:p>
    <w:p>
      <w:pPr>
        <w:ind w:left="1000" w:right="2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Trial procedures (particularly any procedures that may be deemed non-essential), patient dosing, shipment of our product candidates, distribution of clinical trial materials, study monitoring, site inspections and data analysis may be paused or delayed due to the above factors or other reasons related to the pandemic. Furthermore, if the coronavirus, including new strains of the virus, continues to spread, or recurs in the future, or if approved vaccines are not as effective as anticipated or are significantly delayed in being administered, some patients and clinical investigators may not be able to comply with clinical trial protocols or we may see increased rates of patients withdrawing from any planned clinical trial following enrollment, including as a result of contracting COVID-19 or travel limitations (whether voluntary or required), which may impede patient movement, affect access to trial sites, or interrupt healthcare services. Moreover, follow-up visits associated with our active clinical trials are in most cases being conducted using alternative data collection approaches due to COVID-19 travel and other trial site limitations. Though we are following the FDA, EMA and certain country-specific guidance on the management of clinical trials during the COVID-19 pandemic, we may also utilize other alternative approaches that may not be as effective as traditional approaches, and regulatory bodies, such as the FDA and EMA, may not approve such data collection techniques and may consider the data collected during the COVID-19 pandemic insufficient support for the relevant regulatory filings. Additionally, we have experienced and anticipate that the COVID-19 pandemic may continue to result in regulatory delays, such as delays in receiving regulatory advice, reviews of applications, or performance of inspections required for approvals. The pandemic may also result in greater regulatory uncertainty. For example, while the FDA and EMA have issued guidance to provide biopharmaceutical manufacturers greater flexibility in certain regulatory areas, including remote monitoring, protocol deviations and adverse event reporting, such flexibility may result in greater uncertainty regarding the expectations of such health authorities in relation to this guidance and the adequacy of the data collected during the COVID-19 pandemic to support regulatory filings. Any disruption or delay in our ability to complete preclinical and clinical development of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color w:val="auto"/>
        </w:rPr>
        <w:t>product candidates could impair our ability to successfully gain regulatory approval for and ultimately commercialize our product candidates and may harm our business and results of operations.</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extent and impact of such disruptions are currently unpredictable. Any prolongation or de-prioritization of our clinical trials or delay in regulatory review resulting from such disruptions could materially affect the development, study and regulatory submissions of our product candidates. The COVID-19 global pandemic may also result in interruption or delays in the operations of the FDA and EMA and other regulatory agencies, which could further delay our anticipated regulatory submissions and any potential approval of our product candidates.</w:t>
      </w:r>
    </w:p>
    <w:p>
      <w:pPr>
        <w:spacing w:after="0" w:line="22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the COVID-19 pandemic initially impacted our ability to generate revenue from the sale of Strimvelis, as Ospedale San Raffaele, Milan, Italy, the treatment site for Strimvelis, postponed scheduling and treating non-urgent patients with the therapy for approximately three months. Although we derive limited revenue from sales of Strimvelis, a prolonged postponement of treatments would significantly reduce our sole source of product revenue. The COVID-19 pandemic may also result in a diversion of payor or government resources away from health technology assessment, reimbursement or market access activities, which could delay our efforts to commercialize Libmeldy in the EU.</w:t>
      </w:r>
    </w:p>
    <w:p>
      <w:pPr>
        <w:spacing w:after="0" w:line="203"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extent to which the COVID-19 pandemic impacts our business, and our clinical development and regulatory efforts, as well as our supply chain, will depend on future developments that are highly uncertain and cannot be predicted with confidence, such as the ultimate geographic spread of the disease, the duration of the outbreak, government actions, such as travel restrictions, quarantines and social distancing requirements in the U.S. and in other countries, business closures or business disruptions and the effectiveness of actions taken in the U.S. and in other countries to contain and treat the disease. Accordingly, we do not yet know the full extent of potential delays or impacts on our business, our clinical and regulatory activities, our research programs, healthcare systems or the global economy as a whole. However, these effects could materially and adversely affect our business, financial condition, results of operations and growth prospects, which may in turn also have the effect of heightening many of the other risks and uncertainties described elsewhere in this “Risk Factors” section.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337" w:lineRule="exact"/>
        <w:rPr>
          <w:sz w:val="20"/>
          <w:szCs w:val="20"/>
          <w:color w:val="auto"/>
        </w:rPr>
      </w:pPr>
    </w:p>
    <w:p>
      <w:pPr>
        <w:jc w:val="both"/>
        <w:ind w:right="640"/>
        <w:spacing w:after="0" w:line="311" w:lineRule="auto"/>
        <w:rPr>
          <w:sz w:val="20"/>
          <w:szCs w:val="20"/>
          <w:color w:val="auto"/>
        </w:rPr>
      </w:pPr>
      <w:r>
        <w:rPr>
          <w:rFonts w:ascii="Arial" w:cs="Arial" w:eastAsia="Arial" w:hAnsi="Arial"/>
          <w:sz w:val="16"/>
          <w:szCs w:val="16"/>
          <w:b w:val="1"/>
          <w:bCs w:val="1"/>
          <w:i w:val="1"/>
          <w:iCs w:val="1"/>
          <w:color w:val="auto"/>
        </w:rPr>
        <w:t>Our gene therapy approach utilizes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Adverse events in other lentiviral gene therapy trials unrelated to our product candidates could negatively impact our business.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Adverse events in our clinical trials,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demand for compassionate use of our unapproved therapies could result in losses.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We are developing our autologous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therapies to address rare diseases for which there are currently limited or no available therapeutic options. Media attention to individual patients’ expanded access requests has resulted in the introduction and passage of legislation at the local and national level referred to as “Right to Try” laws, which are intended to help enable patient access to unapproved therapies. Such legislation includes the Trickett Wendler, Frank Mongiello, Jordan McLinn, and Matthew Bellina Right to Try Act of 2017, which was signed into law in May 2018. New and emerging legislation regarding expanded access to unapproved drugs for life-threatening illnesses could negatively impact our business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right="200" w:firstLine="510"/>
        <w:spacing w:after="0" w:line="263" w:lineRule="auto"/>
        <w:rPr>
          <w:sz w:val="20"/>
          <w:szCs w:val="20"/>
          <w:color w:val="auto"/>
        </w:rPr>
      </w:pPr>
      <w:r>
        <w:rPr>
          <w:rFonts w:ascii="Arial" w:cs="Arial" w:eastAsia="Arial" w:hAnsi="Arial"/>
          <w:sz w:val="18"/>
          <w:szCs w:val="18"/>
          <w:color w:val="auto"/>
        </w:rPr>
        <w:t>A possible consequence of both activism and legislation in this area is the need for us to initiate an unanticipated expanded access program or to make our product candidates more widely available sooner than anticipated. We have limited resources and unanticipated trials or access programs could result in diversion of resources from our primary goals.</w:t>
      </w:r>
    </w:p>
    <w:p>
      <w:pPr>
        <w:spacing w:after="0" w:line="76"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addition, patients who receive access to unapproved drugs through compassionate use or expanded access programs have life-threatening illnesses and have exhausted all other available therapies. The risk for SAEs in this patient population is high, which could have a negative impact on the safety profile of our product candidates. This could cause significant delays or an inability to successfully commercialize our product candidates, which could materially harm our business.</w:t>
      </w:r>
    </w:p>
    <w:p>
      <w:pPr>
        <w:spacing w:after="0" w:line="29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future results will suffer if we do not effectively manage our expanded operations as a result of our acquisition of Strimvelis, Libmeldy (OTL-200), OTL-103 for WAS, OTL-203 for MPS-IH and OTL-300 for TDT or of future acquisitions or strategic transactions.</w:t>
      </w:r>
    </w:p>
    <w:p>
      <w:pPr>
        <w:spacing w:after="0" w:line="3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acquired worldwide rights to Libmeldy (OTL-200), Strimvelis, OTL-103 for WAS and OTL-300 for TDT in April 2018 pursuant to the GSK Agreement, and worldwide rights to OTL-203 for MPS-IH in May 2019 pursuant to an exclusive licensing agreement with Telethon-OSR. The GSK Agreement significantly changed the composition of our operations, markets and product candidate mix, and we are continuing to adapt our organization to support these acquisitions. For example, in May 2020, we announced a reduction of the investment in and scope of our OTL-101 and OTL-300 programs and, based on the reallocation of capital, we have determined to prioritize other programs, including research and development projects in less rare indications. Further, in May 2021, we announced that we would terminate the license relating to OTL-101, and such termination has taken effect. Our future success depends, in part, on our ability to continue to address these changes, and, where necessary, to attract and retain new personnel that possess the requisite skills called for by these changes.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failure to adequately address the financial, operational or legal risks of our acquisition of the rights to Libmeldy, Strimvelis, OTL-103 for WAS, OTL-203 for MPS-IH and OTL-300 for TDT, or any future acquisitions, license arrangements or other strategic transactions related to our current or future product candidates could harm our business. Financial aspects of such future transactions that could alter our financial position, or operating results include:</w:t>
      </w:r>
    </w:p>
    <w:p>
      <w:pPr>
        <w:spacing w:after="0" w:line="79"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of cash resources;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than anticipated acquisition costs and expenses;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incurrence of debt and contingent liabilities, impairment losses or restructuring charges;</w:t>
      </w:r>
    </w:p>
    <w:p>
      <w:pPr>
        <w:spacing w:after="0" w:line="9" w:lineRule="exact"/>
        <w:rPr>
          <w:rFonts w:ascii="Arial" w:cs="Arial" w:eastAsia="Arial" w:hAnsi="Arial"/>
          <w:sz w:val="18"/>
          <w:szCs w:val="18"/>
          <w:color w:val="auto"/>
        </w:rPr>
      </w:pPr>
    </w:p>
    <w:p>
      <w:pPr>
        <w:ind w:left="1000" w:right="40" w:hanging="493"/>
        <w:spacing w:after="0" w:line="250"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expenses related to other intangible assets.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Operational risks that could harm our existing operations or prevent realization of anticipated benefits from these transactions include:</w:t>
      </w:r>
    </w:p>
    <w:p>
      <w:pPr>
        <w:spacing w:after="0" w:line="117"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challenges associated with managing an increasingly diversified business;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difficulty and expense in assimilating the operations, products, technology, information systems or personnel of the acquired company;</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entry into a geographic or business market in which we have little or no prior experience;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assumption of known and unknown liabilities of the acquired business or asset, including intellectual property claims;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loss of key personnel.</w:t>
      </w:r>
    </w:p>
    <w:p>
      <w:pPr>
        <w:spacing w:after="0" w:line="21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future success depends, in part, upon our ability to manage our expansion opportunities. Integrating new operations into our existing business in an efficient and timely manner, successfully monitoring our operations, costs, regulatory compliance and customer relationships, and maintaining other necessary internal controls pose substantial challenges for us. As a result, we cannot assure that our expansion or acquisition opportunities will be successful or that we will realize our expected operating efficiencies, cost savings, revenue enhancements, synergies or other benefits.</w:t>
      </w:r>
    </w:p>
    <w:p>
      <w:pPr>
        <w:spacing w:after="0" w:line="26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face potential product liability, and, if successful claims are brought against us, we may incur substantial liability and costs. If the use of Libmeldy, Strimvelis or our product candidates harms patients, or is perceived to harm patients even when such harm is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ind w:right="120"/>
        <w:spacing w:after="0" w:line="277" w:lineRule="auto"/>
        <w:rPr>
          <w:sz w:val="20"/>
          <w:szCs w:val="20"/>
          <w:color w:val="auto"/>
        </w:rPr>
      </w:pPr>
      <w:r>
        <w:rPr>
          <w:rFonts w:ascii="Arial" w:cs="Arial" w:eastAsia="Arial" w:hAnsi="Arial"/>
          <w:sz w:val="18"/>
          <w:szCs w:val="18"/>
          <w:b w:val="1"/>
          <w:bCs w:val="1"/>
          <w:i w:val="1"/>
          <w:iCs w:val="1"/>
          <w:color w:val="auto"/>
        </w:rPr>
        <w:t>unrelated to our product candidates, our regulatory approvals could be revoked or otherwise negatively impacted and we could be subject to costly and damaging product liability claims.</w:t>
      </w:r>
    </w:p>
    <w:p>
      <w:pPr>
        <w:spacing w:after="0" w:line="6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use of our product candidates in clinical trials and the sale of Strimvelis and planned sales of Libmeldy or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For example, in October 2020, we were notified that a patient treated with Strimvelis under a compassionate use program in 2016 had been diagnosed with leukemia. Subsequent findings confirmed that the patient’s leukemia was due to insertional oncogenesis attributable to treatment with Strimvelis, though the CHMP concluded that the risk-benefit balance remains favorable. If we cannot successfully defend against product liability claims, including any claims related to treatment with Strimvelis, we could incur substantial liability and costs. In addition, regardless of merit or eventual outcome, product liability claims may result in:</w:t>
      </w:r>
    </w:p>
    <w:p>
      <w:pPr>
        <w:spacing w:after="0" w:line="70"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withdrawal of clinical trial participants;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11"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believe our product liability insurance coverage is sufficient in light of our current commercial and clinical programs; however, we may not be able to maintain insurance coverage at a reasonable cost or in sufficient amounts to protect us against losses due to liability. We intend to expand our insurance coverage each time we commercialize an additional product, but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adversely affect our results of operations and business.</w:t>
      </w:r>
    </w:p>
    <w:p>
      <w:pPr>
        <w:spacing w:after="0" w:line="19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information security incident, including a cybersecurity breach, could have a negative impact to the Company’s business or reputation.</w:t>
      </w:r>
    </w:p>
    <w:p>
      <w:pPr>
        <w:spacing w:after="0" w:line="129"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Security incidents have become more prevalent across industries and may occur on our systems or on the systems of our third party service providers. These security incidents may be caused by, or result in, security breaches, computer malware or malicious software, ransomware, computer hacking, denial of service attacks, security system control failures in our own systems or from service providers we use, email phishing, software vulnerabilities, social engineering, sabotage, drive-by downloads and the malfeasance of our or our service providers’ employees, among other things. We have taken a number of measures to detect, effectively remediate and prevent future attacks and security threats; however, because of the frequently changing attack techniques, along with the increased volume and sophistication of the attacks, there is the potential for the Company to be adversely impacted.</w:t>
      </w:r>
    </w:p>
    <w:p>
      <w:pPr>
        <w:spacing w:after="0" w:line="8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among other things, damage from computer viruses, unauthorized access, ransomware, natural disasters, terrorism, war and telecommunication and electrical failures. Furthermore, the ongoing COVID-19 pandemic and the related disruptions to our business and our collaborators’, contractors’ and consultants’ businesses may increase the risk of security incidents.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240"/>
        <w:spacing w:after="0" w:line="277" w:lineRule="auto"/>
        <w:rPr>
          <w:sz w:val="20"/>
          <w:szCs w:val="20"/>
          <w:color w:val="auto"/>
        </w:rPr>
      </w:pPr>
      <w:r>
        <w:rPr>
          <w:rFonts w:ascii="Arial" w:cs="Arial" w:eastAsia="Arial" w:hAnsi="Arial"/>
          <w:sz w:val="18"/>
          <w:szCs w:val="18"/>
          <w:color w:val="auto"/>
        </w:rPr>
        <w:t>data or applications, or the inappropriate disclosure of confidential or proprietary information, we could incur liability, our competitive position could be harmed and the further development and commercialization of our product candidates could be delayed.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and our President</w:t>
      </w:r>
    </w:p>
    <w:p>
      <w:pPr>
        <w:spacing w:after="0" w:line="46" w:lineRule="exact"/>
        <w:rPr>
          <w:sz w:val="20"/>
          <w:szCs w:val="20"/>
          <w:color w:val="auto"/>
        </w:rPr>
      </w:pPr>
    </w:p>
    <w:p>
      <w:pPr>
        <w:ind w:right="120" w:firstLine="8"/>
        <w:spacing w:after="0" w:line="253" w:lineRule="auto"/>
        <w:tabs>
          <w:tab w:leader="none" w:pos="1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Chief Operating Officer,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w:t>
      </w:r>
    </w:p>
    <w:p>
      <w:pPr>
        <w:spacing w:after="0" w:line="193"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303"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Our corporate restructuring and the associated headcount reduction may not result in anticipated savings, could result in total costs and expenses that are greater than expected and could disrupt our business, and we may experience difficulties in managing our current and any future restructurings.</w:t>
      </w:r>
    </w:p>
    <w:p>
      <w:pPr>
        <w:spacing w:after="0" w:line="100"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May 2020, we undertook an organizational restructuring that reduced our workforce by approximately 25%, including the closure of our Menlo Park, California office. We also decided to discontinue building out our leased manufacturing facility in Fremont, California, despite having devoted costs and resources to the project, which may not be recouped, and despite incurring wind down costs associated with abandoning the construction. We have recorded $5.7 million in non-cash impairment charges associated with the Fremont operating lease right-of-use asset, design costs classified as construction-in-process, and laboratory equipment at our Menlo Park facility. In December 2020, we entered into a sublease agreement with an unrelated third-party whereby we subleased the entire Fremont facility to such third party. The sublease is for the entire remaining term of lease.</w:t>
      </w:r>
    </w:p>
    <w:p>
      <w:pPr>
        <w:spacing w:after="0" w:line="164"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2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CROs and CDMOs.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these parties could include intentional failures to (i) comply with the regulations of the FDA, EMA or of other foreign regulatory authorities, (ii) provide accurate information to the FDA, EMA and other foreign regulatory authorities, (iii) comply with healthcare fraud and abuse laws and regulations in the United States and abroad, (iv) report financial information or data accurately or (v)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60"/>
        <w:spacing w:after="0" w:line="271" w:lineRule="auto"/>
        <w:rPr>
          <w:sz w:val="20"/>
          <w:szCs w:val="20"/>
          <w:color w:val="auto"/>
        </w:rPr>
      </w:pPr>
      <w:r>
        <w:rPr>
          <w:rFonts w:ascii="Arial" w:cs="Arial" w:eastAsia="Arial" w:hAnsi="Arial"/>
          <w:sz w:val="17"/>
          <w:szCs w:val="17"/>
          <w:color w:val="auto"/>
        </w:rPr>
        <w:t>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such as criminal and administrative penalties, damages,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286"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(i) subjected biologic products to potential competition by lower-cost biosimilars; (ii) addressed a new methodology by which rebates owed by manufacturers under the Medicaid Drug Rebate Program are calculated for drugs that are inhaled, infused, instilled, implanted or injected; (iii) increased the minimum Medicaid rebates owed by most manufacturers under the Medicaid Drug Rebate Program; (iv) extended the Medicaid Drug Rebate program to utilization of prescriptions of individuals enrolled in Medicaid managed care organizations; (v) subjected manufacturers to new annual fees and taxes for certain branded prescription drugs; (vi) created a new Medicare Part D coverage gap discount program, in which manufacturers must agree to offer 50% (increased to 70% pursuant to the Bipartisan Budget Act of 2018, effective as of January 1, 2019 (the “BBA”)) point-of-sale discounts off negotiated prices of applicable brand drugs to eligible beneficiaries during their coverage gap period, as a condition for the manufacturer’s outpatient drugs to be covered under Medicare Part D; and (vii) provided incentives to programs that increase the federal government’s comparative effectiveness research.</w:t>
      </w:r>
    </w:p>
    <w:p>
      <w:pPr>
        <w:spacing w:after="0" w:line="6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Some of the provisions of the ACA have yet to be fully implemented, while certain provisions have been subject to judicial and Congressional challenges. While Congress has not passed comprehensive repeal legislation, two bills affecting the implementation of certain taxes under the ACA have been signed into law. First, the Tax Cuts and Jobs Act of 2017, or the Tax Act, decreased the tax-based shared responsibility payment imposed by the ACA on certain individuals who fail to maintain qualifying health coverage for all or part of a year, commonly referred to as the “individual mandate,” to $0, effective January 1, 2019. Second, the BBA repealed the so-called “Cadillac” tax on certain high-cost employer-sponsored insurance plans, the annual fee imposed on certain health insurance providers, and the medical device excise tax on non-exempt medical devices. The BBA also closed the coverage gap in most Medicare drug plans, commonly referred to as the “donut hole.”</w:t>
      </w:r>
    </w:p>
    <w:p>
      <w:pPr>
        <w:spacing w:after="0" w:line="6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June 2021, the U.S. Supreme Court, or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7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June 2018, the U.S. Court of Appeals for the Federal Circuit ruled that the federal government was not required to pay in excess of $12.0 billion in ACA risk corridor payments to third-party payors. This decision was appealed to the Supreme Court, which in April 2020 reversed the U.S. Court of Appeals and remanded the case, concluding that the government had an obligation to pay these risk corridor payments under the relevant formula. The effects of this gap in reimbursement on third-party payors, the viability of the ACA marketplace, providers, and potentially our business are not yet known.</w:t>
      </w:r>
    </w:p>
    <w:p>
      <w:pPr>
        <w:spacing w:after="0" w:line="49"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Further, in December 2018, CMS published a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published a final rule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5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It is unclear how other healthcare reform measures of the Biden administrations or other efforts, if any, to challenge repeal or replace the ACA, will impact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right="60" w:firstLine="510"/>
        <w:spacing w:after="0" w:line="254" w:lineRule="auto"/>
        <w:rPr>
          <w:sz w:val="20"/>
          <w:szCs w:val="20"/>
          <w:color w:val="auto"/>
        </w:rPr>
      </w:pPr>
      <w:r>
        <w:rPr>
          <w:rFonts w:ascii="Arial" w:cs="Arial" w:eastAsia="Arial" w:hAnsi="Arial"/>
          <w:sz w:val="18"/>
          <w:szCs w:val="18"/>
          <w:color w:val="auto"/>
        </w:rPr>
        <w:t>Other legislative changes potentially affecting our business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$1.5 trillion for the years 2013 through 2021, was unable to reach required goals, thereby triggering the legislation’s automatic reduction to several government programs. This included aggregate reductions of Medicare payments to providers of 2% per fiscal year, which went into effect in April 2013 and will remain in effect through 2030 unless additional Congressional action is taken. Pursuant to the CARES Act and subsequent legislation, however, these reductions were suspended from May 2020 through the end of 2021 due to the COVID-19 pandemic.</w:t>
      </w:r>
    </w:p>
    <w:p>
      <w:pPr>
        <w:spacing w:after="0" w:line="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May 2019, CMS issued a final rule to allow Medicare Advantage Plans the option of using step therapy, a type of prior authorization, for Part B drugs beginning January 1, 2020. In addition, there have been several changes to the 340B drug pricing program, which imposes ceilings on prices that drug manufacturers can charge for medications sold to certain health care facilities. For 2019 and 2018, CMS altered the reimbursement formula on specified covered outpatient drugs, which was challenged in court. In July 2020, the U.S. Court of Appeals for the District of Columbia held that the changes were within CMS’s authority. In September 2020, the plaintiffs-appellees filed a Petition for Rehearing En Banc (</w:t>
      </w:r>
      <w:r>
        <w:rPr>
          <w:rFonts w:ascii="Arial" w:cs="Arial" w:eastAsia="Arial" w:hAnsi="Arial"/>
          <w:sz w:val="17"/>
          <w:szCs w:val="17"/>
          <w:i w:val="1"/>
          <w:iCs w:val="1"/>
          <w:color w:val="auto"/>
        </w:rPr>
        <w:t>i.e</w:t>
      </w:r>
      <w:r>
        <w:rPr>
          <w:rFonts w:ascii="Arial" w:cs="Arial" w:eastAsia="Arial" w:hAnsi="Arial"/>
          <w:sz w:val="17"/>
          <w:szCs w:val="17"/>
          <w:color w:val="auto"/>
        </w:rPr>
        <w:t>., before the full court), but this petition was denied. Plaintiffs-appellees filed a petition for a writ of certiorari at the Supreme Court in February 2021, which was granted in July 2021. It is unclear how these developments could affect covered hospitals who might purchase our future products and affect the rates we may charge such facilities for our approved products in the future, if any.</w:t>
      </w:r>
    </w:p>
    <w:p>
      <w:pPr>
        <w:spacing w:after="0" w:line="179"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There have been several other actions taken at a federal level seeking to lower drug prices. At a federal level, President Biden signed an Executive Order in July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directs HHS to provide a report on actions to combat excessive pricing of prescription drugs, enhance the domestic drug supply chain, reduce the price that the U.S.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in September 2020, which went into effect in November 2020, providing guidance for states to build and submit importation plans for drugs from Canada. Further, in November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August 2021, CMS announced a proposed rule to rescind the Most Favored Nation rule. Further, authorities in Canada have passed rules designed to safeguard the Canadian drug supply from shortages. If implemented, importation of drugs from Canada may materially and adversely affect the price we receive for any of our product candidates. Additionally, in December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have been delayed until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393"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or restrictions on certain product access, and marketing cost disclosure and transparency measures, which, in some cases, are designed to encourage importation from other countries and bulk purchasing.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right="2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1260" w:hanging="37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1260" w:hanging="37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86"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 the below:</w:t>
      </w:r>
    </w:p>
    <w:p>
      <w:pPr>
        <w:spacing w:after="0" w:line="84" w:lineRule="exact"/>
        <w:rPr>
          <w:sz w:val="20"/>
          <w:szCs w:val="20"/>
          <w:color w:val="auto"/>
        </w:rPr>
      </w:pPr>
    </w:p>
    <w:p>
      <w:pPr>
        <w:ind w:left="1000" w:right="20" w:hanging="493"/>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ind w:left="500" w:right="140"/>
        <w:spacing w:after="0" w:line="285" w:lineRule="auto"/>
        <w:rPr>
          <w:sz w:val="20"/>
          <w:szCs w:val="20"/>
          <w:color w:val="auto"/>
        </w:rPr>
      </w:pPr>
      <w:r>
        <w:rPr>
          <w:rFonts w:ascii="Arial" w:cs="Arial" w:eastAsia="Arial" w:hAnsi="Arial"/>
          <w:sz w:val="16"/>
          <w:szCs w:val="16"/>
          <w:color w:val="auto"/>
        </w:rPr>
        <w:t>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 w:lineRule="exact"/>
        <w:rPr>
          <w:sz w:val="20"/>
          <w:szCs w:val="20"/>
          <w:color w:val="auto"/>
        </w:rPr>
      </w:pPr>
    </w:p>
    <w:p>
      <w:pPr>
        <w:ind w:left="500" w:right="20" w:hanging="493"/>
        <w:spacing w:after="0" w:line="265"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 w:lineRule="exact"/>
        <w:rPr>
          <w:rFonts w:ascii="Arial" w:cs="Arial" w:eastAsia="Arial" w:hAnsi="Arial"/>
          <w:sz w:val="17"/>
          <w:szCs w:val="17"/>
          <w:color w:val="auto"/>
        </w:rPr>
      </w:pPr>
    </w:p>
    <w:p>
      <w:pPr>
        <w:ind w:left="500" w:right="20" w:hanging="493"/>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 w:lineRule="exact"/>
        <w:rPr>
          <w:rFonts w:ascii="Arial" w:cs="Arial" w:eastAsia="Arial" w:hAnsi="Arial"/>
          <w:sz w:val="18"/>
          <w:szCs w:val="18"/>
          <w:color w:val="auto"/>
        </w:rPr>
      </w:pPr>
    </w:p>
    <w:p>
      <w:pPr>
        <w:ind w:left="500" w:right="60" w:hanging="493"/>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3" w:lineRule="exact"/>
        <w:rPr>
          <w:rFonts w:ascii="Arial" w:cs="Arial" w:eastAsia="Arial" w:hAnsi="Arial"/>
          <w:sz w:val="18"/>
          <w:szCs w:val="18"/>
          <w:color w:val="auto"/>
        </w:rPr>
      </w:pPr>
    </w:p>
    <w:p>
      <w:pPr>
        <w:ind w:left="500" w:right="60" w:hanging="493"/>
        <w:spacing w:after="0" w:line="281"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5" w:lineRule="exact"/>
        <w:rPr>
          <w:rFonts w:ascii="Arial" w:cs="Arial" w:eastAsia="Arial" w:hAnsi="Arial"/>
          <w:sz w:val="16"/>
          <w:szCs w:val="16"/>
          <w:color w:val="auto"/>
        </w:rPr>
      </w:pPr>
    </w:p>
    <w:p>
      <w:pPr>
        <w:ind w:left="500" w:hanging="493"/>
        <w:spacing w:after="0" w:line="265"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1" w:lineRule="exact"/>
        <w:rPr>
          <w:rFonts w:ascii="Arial" w:cs="Arial" w:eastAsia="Arial" w:hAnsi="Arial"/>
          <w:sz w:val="17"/>
          <w:szCs w:val="17"/>
          <w:color w:val="auto"/>
        </w:rPr>
      </w:pPr>
    </w:p>
    <w:p>
      <w:pPr>
        <w:ind w:left="500" w:right="440" w:hanging="493"/>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government price reporting laws, which require us to calculate and report complex pricing metrics in an accurate and timely manner to government programs.</w:t>
      </w:r>
    </w:p>
    <w:p>
      <w:pPr>
        <w:ind w:left="500" w:right="340" w:hanging="493"/>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consumer protection and unfair competition laws, which broadly regulate marketplace activities and activities that potentially harm consumers.</w:t>
      </w:r>
    </w:p>
    <w:p>
      <w:pPr>
        <w:ind w:left="500" w:right="40" w:hanging="493"/>
        <w:spacing w:after="0" w:line="252"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Many states in the United States have enacted laws that regulate the privacy and/or security of certain types of personal information. For example, in California the California Consumer Protection Act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83" w:name="page84"/>
    <w:bookmarkEnd w:id="83"/>
    <w:p>
      <w:pPr>
        <w:ind w:left="1000" w:right="200"/>
        <w:spacing w:after="0" w:line="268" w:lineRule="auto"/>
        <w:rPr>
          <w:sz w:val="20"/>
          <w:szCs w:val="20"/>
          <w:color w:val="auto"/>
        </w:rPr>
      </w:pPr>
      <w:r>
        <w:rPr>
          <w:rFonts w:ascii="Arial" w:cs="Arial" w:eastAsia="Arial" w:hAnsi="Arial"/>
          <w:sz w:val="17"/>
          <w:szCs w:val="17"/>
          <w:color w:val="auto"/>
        </w:rPr>
        <w:t>prevent data breaches. After a delay, the CCPA became subject to enforcement as of July 1, 2020. Although clinical trial data and protected health information subject to HIPAA are currently exempt from CCPA, we may be subject to the CCPA with respect to other personal information regarding California residents.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U.S., which could increase our potential liability and adversely affect our business.</w:t>
      </w:r>
    </w:p>
    <w:p>
      <w:pPr>
        <w:spacing w:after="0" w:line="1" w:lineRule="exact"/>
        <w:rPr>
          <w:sz w:val="20"/>
          <w:szCs w:val="20"/>
          <w:color w:val="auto"/>
        </w:rPr>
      </w:pPr>
    </w:p>
    <w:p>
      <w:pPr>
        <w:ind w:left="1000" w:right="120" w:hanging="493"/>
        <w:spacing w:after="0" w:line="28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3" w:lineRule="exact"/>
        <w:rPr>
          <w:rFonts w:ascii="Arial" w:cs="Arial" w:eastAsia="Arial" w:hAnsi="Arial"/>
          <w:sz w:val="16"/>
          <w:szCs w:val="16"/>
          <w:color w:val="auto"/>
        </w:rPr>
      </w:pPr>
    </w:p>
    <w:p>
      <w:pPr>
        <w:ind w:left="1000" w:right="40" w:hanging="493"/>
        <w:spacing w:after="0" w:line="270"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Certain other state laws impose similar privacy obligations, and we also expect anticipate that more states to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7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Following the UK’s withdrawal from the EU on January 31, 2020 and the end of the transitional arrangements agreed between the UK and EU, as of January 1, 2021, the GDPR has been incorporated into UK domestic law by virtue of section 3 of the European Union (Withdrawal) Act 2018 and amended by the Data Protection, Privacy and Electronic Communications (Amendments etc.) (EU Exit) Regulations 2019. UK-based organizations doing business in the EU will need to continue to comply with the EU General Data Protection Regulation (“GDPR”). The UK is now regarded as a third country under GDPR, but the European Commission has issued a decision recognizing the UK as providing adequate protection under GDPR. Therefore, transfers of personal data originating in the EU to the UK remain unrestricted. The UK Government has also confirmed that transfers of personal data originating in the UK to the EU may continue to flow freely. 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including personal health data, is subject to the GDPR. The GDPR is wide-ranging in scope and imposes numerous requirements on companies that process personal data, including requirements relating to processing health and other sensitive data, where required obtaining consent of the individuals to whom the personal data relates, providing information to individuals regarding data processing activities, implementing safeguards to protect the security and confidentiality of personal data, where required providing notification of data breaches, and taking certain measures when engaging third-party processors, including concluding data processing agreements, where required appointing data protection officers, where required conducting data protection impact assessments, and record-keeping. The GDPR also imposes strict rules and restrictions on the transfer of personal data to countries outside the European Economic Area, including the United States (see below), and permits data protection authorities to impose large penalties for violations of the GDPR, including potential fines of up to €20.0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may increase our responsibility and liability in relation to personal data that we process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right="60"/>
        <w:spacing w:after="0" w:line="269" w:lineRule="auto"/>
        <w:rPr>
          <w:sz w:val="20"/>
          <w:szCs w:val="20"/>
          <w:color w:val="auto"/>
        </w:rPr>
      </w:pPr>
      <w:r>
        <w:rPr>
          <w:rFonts w:ascii="Arial" w:cs="Arial" w:eastAsia="Arial" w:hAnsi="Arial"/>
          <w:sz w:val="17"/>
          <w:szCs w:val="17"/>
          <w:color w:val="auto"/>
        </w:rPr>
        <w:t>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In addition, further to the United Kingdom’s exit from the EU (“Brexit”) on January 31, 2020 and the expiry of the subsequent transition period on December 31, 2020, the GDPR has been brought into UK law as the “UK GDPR.” The UK is now regarded as a third country under GDPR, but the European Commission has issued a decision recognizing the UK as providing adequate protection under GDPR. Therefore, transfers of personal data originating in the EU to the UK remain unrestricted. Like the GDPR, the UK GDPR restricts personal data transfers outside the UK to countries not regarded by the UK as providing adequate protection. The UK Government has confirmed that personal data transfers from the UK to the EEA remain free flowing. In the present document, references to “GDPR” are meant to include both the EU and the UK GDPR, unless specified.</w:t>
      </w:r>
    </w:p>
    <w:p>
      <w:pPr>
        <w:spacing w:after="0" w:line="185"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Significantly, adequate safeguards must be implemented to enable the transfer of personal data outside of the EEA or the UK, in particular to the United States, in compliance with European and UK data protection laws. In June 2021, the European Commission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Data Protection Directive. The UK is not subject to the European Commission’s new standard contractual clauses but has published a draft version of its International Transfer Agreement, which, once finalized, will enable transfers from the UK. We will be required to implement these new safeguards when conducting restricted data transfers under the GDPR and doing so will require significant effort and cost.</w:t>
      </w:r>
    </w:p>
    <w:p>
      <w:pPr>
        <w:spacing w:after="0" w:line="166"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some of whom receive share options as compensation for services provided,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2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CDMOs and CROs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and third parties such as our CDMOs and CROs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ind w:right="60"/>
        <w:spacing w:after="0" w:line="277" w:lineRule="auto"/>
        <w:rPr>
          <w:sz w:val="20"/>
          <w:szCs w:val="20"/>
          <w:color w:val="auto"/>
        </w:rPr>
      </w:pPr>
      <w:r>
        <w:rPr>
          <w:rFonts w:ascii="Arial" w:cs="Arial" w:eastAsia="Arial" w:hAnsi="Arial"/>
          <w:sz w:val="18"/>
          <w:szCs w:val="18"/>
          <w:b w:val="1"/>
          <w:bCs w:val="1"/>
          <w:i w:val="1"/>
          <w:iCs w:val="1"/>
          <w:color w:val="auto"/>
        </w:rPr>
        <w:t>As a company based outside of the United States, our business is subject to economic, political, regulatory and other risks associated with international operations.</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a company based partly in the United Kingdom and EU countries,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76" w:lineRule="exact"/>
        <w:rPr>
          <w:sz w:val="20"/>
          <w:szCs w:val="20"/>
          <w:color w:val="auto"/>
        </w:rPr>
      </w:pPr>
    </w:p>
    <w:p>
      <w:pPr>
        <w:ind w:left="1000" w:right="80" w:hanging="493"/>
        <w:spacing w:after="0" w:line="29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the United Kingdom and other non-U.S. economies and markets, including the substantial economic dislocation that has occurred and is likely to persist as a result of the impact of the COVID-19 global pandemic;</w:t>
      </w: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9" w:lineRule="exact"/>
        <w:rPr>
          <w:rFonts w:ascii="Arial" w:cs="Arial" w:eastAsia="Arial" w:hAnsi="Arial"/>
          <w:sz w:val="18"/>
          <w:szCs w:val="18"/>
          <w:color w:val="auto"/>
        </w:rPr>
      </w:pPr>
    </w:p>
    <w:p>
      <w:pPr>
        <w:ind w:left="1000" w:right="80" w:hanging="493"/>
        <w:spacing w:after="0" w:line="250"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non-U.S. currency exchange rates of the pound sterling, U.S. Dollar, euro and currency controls;</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implications of the recent decision of the eligible members of the UK electorate for the United Kingdom to withdraw from the European Union;</w:t>
      </w: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consequences from changes in tax laws or practice;</w:t>
      </w:r>
    </w:p>
    <w:p>
      <w:pPr>
        <w:spacing w:after="0" w:line="9" w:lineRule="exact"/>
        <w:rPr>
          <w:rFonts w:ascii="Arial" w:cs="Arial" w:eastAsia="Arial" w:hAnsi="Arial"/>
          <w:sz w:val="18"/>
          <w:szCs w:val="18"/>
          <w:color w:val="auto"/>
        </w:rPr>
      </w:pPr>
    </w:p>
    <w:p>
      <w:pPr>
        <w:ind w:left="1000" w:right="80" w:hanging="493"/>
        <w:spacing w:after="0" w:line="250"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9" w:lineRule="exact"/>
        <w:rPr>
          <w:rFonts w:ascii="Arial" w:cs="Arial" w:eastAsia="Arial" w:hAnsi="Arial"/>
          <w:sz w:val="18"/>
          <w:szCs w:val="18"/>
          <w:color w:val="auto"/>
        </w:rPr>
      </w:pPr>
    </w:p>
    <w:p>
      <w:pPr>
        <w:ind w:left="1000" w:right="100" w:hanging="493"/>
        <w:spacing w:after="0" w:line="290"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fires and public health epidemics and pandemics, including the current COVID-19 global pandemic.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become subject to claims that we are infringing certain third-party patents, for example, patents relating to lentiviral vectors, or other third-party intellectual property rights, any of which may prevent or delay our development and commercialization efforts and have a material adverse effect on our business.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Our commercial success depends in part on avoiding infringing, misappropriating and otherwise violating the patents and other intellectual property and proprietary rights of third parties. There is a substantial amount of litigation, both within and outside the United States, involving patent and other intellectual property rights in the biotechnology and pharmaceutical industries, including patent infringement lawsuits, and administrative proceedings such as interferences,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 Patent and Trademark Office, or USPTO, and opposition proceedings before foreign patent offices. Numerous U.S. and foreign issued patents and pending patent applications, which are owned or controlled by third parties, including our competitors, exist in the fields in which we are pursuing products and product candidates. As the biotechnology and pharmaceutical industries expand and more patents are issued, the risk increases that our products and product candidates may be subject to claims of infringement of the patent rights of third parties.</w:t>
      </w:r>
    </w:p>
    <w:p>
      <w:pPr>
        <w:spacing w:after="0" w:line="178"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 party patents or patent applications with claims to materials, formulations, methods of manufacture or methods for treatment relating to our products and product candidates and, because patent applications can take many years to issue, there may be currently pending third party patent applications which may later result in issued patents, in each case that our products and product candidates, their manufacture or use may infringe or be alleged to infringe.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6" w:name="page87"/>
    <w:bookmarkEnd w:id="86"/>
    <w:p>
      <w:pPr>
        <w:ind w:right="60" w:firstLine="510"/>
        <w:spacing w:after="0" w:line="271" w:lineRule="auto"/>
        <w:rPr>
          <w:sz w:val="20"/>
          <w:szCs w:val="20"/>
          <w:color w:val="auto"/>
        </w:rPr>
      </w:pPr>
      <w:r>
        <w:rPr>
          <w:rFonts w:ascii="Arial" w:cs="Arial" w:eastAsia="Arial" w:hAnsi="Arial"/>
          <w:sz w:val="17"/>
          <w:szCs w:val="17"/>
          <w:color w:val="auto"/>
        </w:rPr>
        <w:t>Parties making patent infringement claims against us may obtain injunctive or other equitable relief, which could effectively block our ability to further develop and commercialize one or more of our products or product candidates. Defense of these claims, including demonstrating non-infringement, invalidity or unenforceability of the respective patent rights in question, regardless of their merit, is time-consuming, would involve substantial litigation expense and would be a substantial diversion of employee resources from our business. For example, in order to successfully challenge the validity of any U.S. patent in federal court, we would need to overcome a presumption of validity. This is a high burden requiring us to present clear and convincing evidence as to the invalidity of any such U.S. patent claim, and we can provide no assurance that a court of competent jurisdiction would invalidate the claims of any such U.S. patent. We may not have sufficient resources to bring these actions to a successful conclusion. There could also be public announcements of the results of hearings, motions or other interim proceedings or developments.</w:t>
      </w:r>
    </w:p>
    <w:p>
      <w:pPr>
        <w:spacing w:after="0" w:line="17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the event that a holder of any such patents seeks to enforce its patent rights against us with respect to one or more of our products or product candidates, and our defenses against the infringement of such patent rights are unsuccessful, we may be precluded from commercializing such products and product candidates, even if approved, without first obtaining a license to some or all of these patents, which may not be available on commercially reasonable terms or at all. Moreover, we may be required to pay significant fees and royalties to secure a license to the applicable patents. Such a license may only be non-exclusive, in which case our ability to stop others from using or commercializing technology and products similar or identical to ours may be limited. Furthermore, we could be liable for damages to the holders of these patents, which may be significant and could include treble damages if we are found to have willfully infringed such patents. In the event that a challenge to these patents were to be unsuccessful or we were to become subject to litigation or unable to obtain a license on commercially reasonable terms with respect to these patents, it could harm our business, financial condition, results of operations and prospects.</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are aware of third-party issued patents and patent applications relating to the lentiviral vectors used in the manufacture or use of one or more our product candidates and/or relating to one or more of our product candidates. If these patent rights were enforced against us, we believe that we have defenses against any such action, including that these patents would not be infringed by our product candidates and/or that these patents are not valid. However, if these patents were enforced against us and defenses to such enforcement were unsuccessful, unless we obtain a license to these patents, which may not be available on commercially reasonable terms, or at all, we could be liable for damages and precluded from commercializing any products and product candidates that were ultimately held to infringe these patents, which could have a material adverse effect on our business, financial condition, results of operations and prospects.</w:t>
      </w:r>
    </w:p>
    <w:p>
      <w:pPr>
        <w:spacing w:after="0" w:line="19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Even in the absence of a finding of infringement, we may need to obtain licenses from third parties to advance our research or allow commercialization of our products and product candidates. We may fail to obtain any of these licenses at a reasonable cost or on reasonable terms, or at all. In that event, we would be unable to further develop and commercialize our products and product candidates. Claims that we have misappropriated the confidential information or trade secrets of third parties could have a similar negative impact on our business. Any of the foregoing could materially adversely affect our business, results of operations and financial condition.</w:t>
      </w:r>
    </w:p>
    <w:p>
      <w:pPr>
        <w:spacing w:after="0" w:line="18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highly dependent on intellectual property and data licensed from third parties to develop and commercialize our products and product candidates, and our development and commercialization abilities are subject, in part, to the terms and conditions of licenses granted to us by such third parties.</w:t>
      </w:r>
    </w:p>
    <w:p>
      <w:pPr>
        <w:spacing w:after="0" w:line="76"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We are highly dependent on the intellectual property and data licensed to us by third parties that are important or necessary to the development of our technology and products and product candidates, including technology related to the manufacture and use of our products and product candidates. In particular, we do not own any patents or patent applications and have not in-licensed any issued patents related to Strimvelis, Libmeldy or any of our lead product candidates. We have in-licensed certain know-how and data from GSK and Telethon-OSR, relating to Strimvelis, OTL-103 for WAS, Libmeldy, and OTL-300 for TDT, certain know-how and data from Telethon-OSR relating to OTL-203 for MPS-IH, and certain other intellectual property for our clinical and preclinical programs. Any termination of these license rights could result in the loss of significant rights and could harm or prevent our ability to commercialize our products and product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right="40" w:firstLine="510"/>
        <w:spacing w:after="0" w:line="253" w:lineRule="auto"/>
        <w:rPr>
          <w:sz w:val="20"/>
          <w:szCs w:val="20"/>
          <w:color w:val="auto"/>
        </w:rPr>
      </w:pPr>
      <w:r>
        <w:rPr>
          <w:rFonts w:ascii="Arial" w:cs="Arial" w:eastAsia="Arial" w:hAnsi="Arial"/>
          <w:sz w:val="18"/>
          <w:szCs w:val="18"/>
          <w:color w:val="auto"/>
        </w:rPr>
        <w:t>Although our license rights from The Regents of the University of California, University College London, GSK, and Telethon-OSR, are exclusive, they are limited to particular fields, such as MLD, WAS or TDT, and are subject to certain retained rights. Absent an amendment or additional agreement, we may not have the right to use the in-licensed intellectual property, data, or know-how for one of our programs in another program. Furthermore, the licenses (including sublicenses) that we have or may enter into in the future may not provide rights to use such intellectual property and technology in all relevant fields of use and in all territories in which we may wish to develop or commercialize our technology, products and product candidates. As a result, we may not be free to commercialize certain of our products or product candidates in fields or territories of interest to us. Furthermore, if the licenses are not exclusive in territories of interest to us, we may be unable to prevent competitors from developing and commercializing competitive products in territories included in our licenses. Licenses (including sublicenses) to additional third-party technology that may be required for our development programs may not be available in the future or may not be available on commercially reasonable terms, or at all, which could have a material adverse effect on our business.</w:t>
      </w:r>
    </w:p>
    <w:p>
      <w:pPr>
        <w:spacing w:after="0" w:line="19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and product candidates that are the subject of such licensed rights could be adversely affected.</w:t>
      </w:r>
    </w:p>
    <w:p>
      <w:pPr>
        <w:spacing w:after="0" w:line="17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current license agreements impose, and we expect that future license agreements that we may enter into will impose, various obligations, including diligence and certain payment obligations. If we fail to satisfy our obligations, the particular licensor may have the right to terminate such agreements.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products and product candidates. Termination of our license agreements or reduction or elimination of our rights under them may result in our having to negotiate a new or reinstated agreement, which may not be available to us on equally favorable terms, or at all, which may mean we are unable to develop or commercialize the affected product or product candidate or cause us to lose our rights under the agreement. Any of the foregoing could have a material adverse effect on our business.</w:t>
      </w:r>
    </w:p>
    <w:p>
      <w:pPr>
        <w:spacing w:after="0" w:line="29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4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ability to compete effectively will depend, in part, on our ability to maintain the proprietary nature of our technology and manufacturing processes. We rely on manufacturing and other know-how, patents, trade secrets, license agreements and contractual provisions to establish our intellectual property rights and protect our products and product candidates. These legal means, however, afford only limited protection and may not adequately protect our rights. We currently do not own any patents or patent applications and have not in-licensed any issued patents related to Strimvelis, Libmeldy or OTL-</w:t>
      </w:r>
    </w:p>
    <w:p>
      <w:pPr>
        <w:spacing w:after="0" w:line="1" w:lineRule="exact"/>
        <w:rPr>
          <w:sz w:val="20"/>
          <w:szCs w:val="20"/>
          <w:color w:val="auto"/>
        </w:rPr>
      </w:pPr>
    </w:p>
    <w:p>
      <w:pPr>
        <w:ind w:firstLine="8"/>
        <w:spacing w:after="0" w:line="270" w:lineRule="auto"/>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Many of our products and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 Our or our licensors’ failure to obtain, maintain, enforce or defend such intellectual property rights, for any reason, could allow third parties, in particular, other established and better-financed gene therapy companies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70"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5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currently do not own any issued patents related to Strimvelis, Libmeldy or our lead product candidates. Certain intellectual property related to Strimvelis, Libmeldy and all of our product candidates are in-licensed from third parties, but we have not in-licensed any issued patents related to Strimvelis, Libmeldy or any of our product candidates. In certain situations and as considered appropriate, we and our licensors have sought, and we intend to continue to seek to protect our proprietary position by filing patent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right="100"/>
        <w:spacing w:after="0" w:line="290" w:lineRule="auto"/>
        <w:rPr>
          <w:sz w:val="20"/>
          <w:szCs w:val="20"/>
          <w:color w:val="auto"/>
        </w:rPr>
      </w:pPr>
      <w:r>
        <w:rPr>
          <w:rFonts w:ascii="Arial" w:cs="Arial" w:eastAsia="Arial" w:hAnsi="Arial"/>
          <w:sz w:val="16"/>
          <w:szCs w:val="16"/>
          <w:color w:val="auto"/>
        </w:rPr>
        <w:t>applications in the United States and, in at least some cases, one or more countries outside the United States relating to current and future products and product candidates that are important to our business. However, we cannot predict whether the patent applications currently being pursued will issue as patents, whether the claims of any resulting patents will provide us with a competitive advantage or prevent competitors from designing around our claims to develop competing technologies in a non-infringing manner,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57" w:lineRule="exact"/>
        <w:rPr>
          <w:sz w:val="20"/>
          <w:szCs w:val="20"/>
          <w:color w:val="auto"/>
        </w:rPr>
      </w:pPr>
    </w:p>
    <w:p>
      <w:pPr>
        <w:jc w:val="both"/>
        <w:ind w:right="120" w:firstLine="510"/>
        <w:spacing w:after="0" w:line="296" w:lineRule="auto"/>
        <w:rPr>
          <w:sz w:val="20"/>
          <w:szCs w:val="20"/>
          <w:color w:val="auto"/>
        </w:rPr>
      </w:pPr>
      <w:r>
        <w:rPr>
          <w:rFonts w:ascii="Arial" w:cs="Arial" w:eastAsia="Arial" w:hAnsi="Arial"/>
          <w:sz w:val="16"/>
          <w:szCs w:val="16"/>
          <w:color w:val="auto"/>
        </w:rPr>
        <w:t>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There can be no assurance that we will obtain or maintain patent rights in or outside the United States under any future license agreements. In addition, the laws of some foreign countries do not protect intellectual property rights to the same extent as federal and state laws in the United States even in jurisdictions where we and our licensors may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they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7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products and product candidates could be found invalid or unenforceable if challenged in court or in administrative proceedings. We may not be able to protect our trade secrets in court.</w:t>
      </w:r>
    </w:p>
    <w:p>
      <w:pPr>
        <w:spacing w:after="0" w:line="170"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If we or one of our licensing partners initiate legal proceedings against a third 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100"/>
        <w:spacing w:after="0" w:line="269" w:lineRule="auto"/>
        <w:rPr>
          <w:sz w:val="20"/>
          <w:szCs w:val="20"/>
          <w:color w:val="auto"/>
        </w:rPr>
      </w:pPr>
      <w:r>
        <w:rPr>
          <w:rFonts w:ascii="Arial" w:cs="Arial" w:eastAsia="Arial" w:hAnsi="Arial"/>
          <w:sz w:val="17"/>
          <w:szCs w:val="17"/>
          <w:color w:val="auto"/>
        </w:rPr>
        <w:t xml:space="preserve">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An adverse determination in any of the foregoing proceedings could result in the revocation or cancellation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could have a material adverse impact on our business.</w:t>
      </w:r>
    </w:p>
    <w:p>
      <w:pPr>
        <w:spacing w:after="0" w:line="185"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our products and product candidates, our business may be materially harmed.</w:t>
      </w:r>
    </w:p>
    <w:p>
      <w:pPr>
        <w:spacing w:after="0" w:line="14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products and product candidates are obtained, once the patent life has expired for a product or product candidate,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and product candidates similar or identical to ours.</w:t>
      </w:r>
    </w:p>
    <w:p>
      <w:pPr>
        <w:spacing w:after="0" w:line="16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patents that we may license from them.</w:t>
      </w:r>
    </w:p>
    <w:p>
      <w:pPr>
        <w:spacing w:after="0" w:line="29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Some of the intellectual property rights we have licensed may have been generated through the use of U.S. government and state funding and may therefore be subject to certain federal and state laws and regulations. As a result, the U.S. government may have certain rights to intellectual property embodied in our current or future products and product candidates pursuant to the Bayh-Dole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right="100"/>
        <w:spacing w:after="0" w:line="268" w:lineRule="auto"/>
        <w:rPr>
          <w:sz w:val="20"/>
          <w:szCs w:val="20"/>
          <w:color w:val="auto"/>
        </w:rPr>
      </w:pPr>
      <w:r>
        <w:rPr>
          <w:rFonts w:ascii="Arial" w:cs="Arial" w:eastAsia="Arial" w:hAnsi="Arial"/>
          <w:sz w:val="17"/>
          <w:szCs w:val="17"/>
          <w:color w:val="auto"/>
        </w:rPr>
        <w:t>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they may not adequately protect our business or permit us to maintain our competitive advantage. For example:</w:t>
      </w:r>
    </w:p>
    <w:p>
      <w:pPr>
        <w:spacing w:after="0" w:line="62"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 w:lineRule="exact"/>
        <w:rPr>
          <w:rFonts w:ascii="Arial" w:cs="Arial" w:eastAsia="Arial" w:hAnsi="Arial"/>
          <w:sz w:val="18"/>
          <w:szCs w:val="18"/>
          <w:color w:val="auto"/>
        </w:rPr>
      </w:pPr>
    </w:p>
    <w:p>
      <w:pPr>
        <w:ind w:left="1000" w:right="26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including one or more of our competitors, may reverse engineer or independently develop the know-how or data, including clinical data, that we rely on for a competitive advantage;</w:t>
      </w:r>
    </w:p>
    <w:p>
      <w:pPr>
        <w:ind w:left="1000" w:right="20" w:hanging="493"/>
        <w:spacing w:after="0" w:line="265"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products or product candidates but that are not covered by the claims of the patents that we license or may own or license in the future or by our other intellectual property rights;</w:t>
      </w:r>
    </w:p>
    <w:p>
      <w:pPr>
        <w:ind w:left="1000" w:right="14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ind w:left="1000" w:right="22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ind w:left="1000" w:right="122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ind w:left="1000" w:hanging="493"/>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32"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or more of our products or product candidates may never be protected by patents;</w:t>
      </w:r>
    </w:p>
    <w:p>
      <w:pPr>
        <w:spacing w:after="0" w:line="9" w:lineRule="exact"/>
        <w:rPr>
          <w:rFonts w:ascii="Arial" w:cs="Arial" w:eastAsia="Arial" w:hAnsi="Arial"/>
          <w:sz w:val="18"/>
          <w:szCs w:val="18"/>
          <w:color w:val="auto"/>
        </w:rPr>
      </w:pPr>
    </w:p>
    <w:p>
      <w:pPr>
        <w:ind w:left="1000" w:right="740" w:hanging="493"/>
        <w:spacing w:after="0" w:line="265"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1000" w:right="220" w:hanging="493"/>
        <w:spacing w:after="0" w:line="26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collaborators may choose not to file a patent application for certain trade secrets or know-how, and a third party may subsequently file a patent application or obtain a patent covering such intellectual property.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3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if issued, or other intellectual property, which could be expensive, time consuming and unsuccessful.</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Competitors may infringe, misappropriate or otherwise violate patents, trademarks, copyrights or other intellectual property that we own or in-license. To counter infringement, misappropriation or other unauthorized use, we may be required to file claims, which can be expensive and time consuming and divert the time and attention of our management and scientific personnel. Any claims we assert against perceived violators could provoke these parties to assert counterclaims against us alleging that we infringe, misappropriate or otherwise violate their intellectual property, in addition to counterclaims asserting that our patents are invalid or unenforceable, or both. In any future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ind w:right="200"/>
        <w:spacing w:after="0" w:line="279" w:lineRule="auto"/>
        <w:rPr>
          <w:sz w:val="20"/>
          <w:szCs w:val="20"/>
          <w:color w:val="auto"/>
        </w:rPr>
      </w:pPr>
      <w:r>
        <w:rPr>
          <w:rFonts w:ascii="Arial" w:cs="Arial" w:eastAsia="Arial" w:hAnsi="Arial"/>
          <w:sz w:val="17"/>
          <w:szCs w:val="17"/>
          <w:color w:val="auto"/>
        </w:rPr>
        <w:t>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w:t>
      </w:r>
    </w:p>
    <w:p>
      <w:pPr>
        <w:spacing w:after="0" w:line="17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Even if we establish infringement, misappropriation or another violation of our intellectual property rights, a court may decide not to grant an injunction against the offender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ADSs. Moreover, there can be no assurance that we will have sufficient financial or other resources to file and pursue such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Any of the foregoing may have a material adverse effect on our business, financial condition, results of operations and prospects.</w:t>
      </w:r>
    </w:p>
    <w:p>
      <w:pPr>
        <w:spacing w:after="0" w:line="2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Our licensors may face similar obstacles.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products and product candidates.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Changes in either the patent laws or the interpretation of the patent laws in the United States or other jurisdictions could increase the uncertainties and costs surrounding the prosecution of patent applications and the enforcement or defense of issued patents. In September 2011, the Leahy-Smith America Invents Act, or the Leahy-Smith Act, was signed into law. When implemented, the Leahy-Smith Act included several significant changes to U.S. patent law that impacted how patent rights could be prosecuted, enforced and defended. In particular, the Leahy-Smith Act also included provisions that switched the United States from a “first-to-invent” system to a “first-to-file” system, allowed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governing the administration of the Leahy-Smith Act, and many of the substantive changes to patent law associated with the Leahy-Smith Act, and in particular, the first to file provisions, only became effective in March 2013. It remains unclear what, if any, impact the Leahy-Smith Act will have on the operation of our business. However, the Leahy-Smith Act and its implementation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ind w:right="20"/>
        <w:spacing w:after="0" w:line="277" w:lineRule="auto"/>
        <w:rPr>
          <w:sz w:val="20"/>
          <w:szCs w:val="20"/>
          <w:color w:val="auto"/>
        </w:rPr>
      </w:pPr>
      <w:r>
        <w:rPr>
          <w:rFonts w:ascii="Arial" w:cs="Arial" w:eastAsia="Arial" w:hAnsi="Arial"/>
          <w:sz w:val="18"/>
          <w:szCs w:val="18"/>
          <w:color w:val="auto"/>
        </w:rPr>
        <w:t>could increase the uncertainties and costs surrounding the prosecution of our patent applications and the enforcement or defense of our issued patents, all of which could have a material adverse effect on our business.</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patent positions of companies engaged in the development and commercialization of biologics are particularly uncertain. Two cases involving diagnostic method claims and “gene patents” have been decided by the Supreme Court. The Supreme Court issued a decision in </w:t>
      </w:r>
      <w:r>
        <w:rPr>
          <w:rFonts w:ascii="Arial" w:cs="Arial" w:eastAsia="Arial" w:hAnsi="Arial"/>
          <w:sz w:val="16"/>
          <w:szCs w:val="16"/>
          <w:i w:val="1"/>
          <w:iCs w:val="1"/>
          <w:color w:val="auto"/>
        </w:rPr>
        <w:t>Mayo 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v. Prometheus Laboratories, Inc.</w:t>
      </w:r>
      <w:r>
        <w:rPr>
          <w:rFonts w:ascii="Arial" w:cs="Arial" w:eastAsia="Arial" w:hAnsi="Arial"/>
          <w:sz w:val="16"/>
          <w:szCs w:val="16"/>
          <w:color w:val="auto"/>
        </w:rPr>
        <w:t>, or</w:t>
      </w:r>
      <w:r>
        <w:rPr>
          <w:rFonts w:ascii="Arial" w:cs="Arial" w:eastAsia="Arial" w:hAnsi="Arial"/>
          <w:sz w:val="16"/>
          <w:szCs w:val="16"/>
          <w:i w:val="1"/>
          <w:iCs w:val="1"/>
          <w:color w:val="auto"/>
        </w:rPr>
        <w:t xml:space="preserve"> Prometheus</w:t>
      </w:r>
      <w:r>
        <w:rPr>
          <w:rFonts w:ascii="Arial" w:cs="Arial" w:eastAsia="Arial" w:hAnsi="Arial"/>
          <w:sz w:val="16"/>
          <w:szCs w:val="16"/>
          <w:color w:val="auto"/>
        </w:rPr>
        <w:t>, a case involving patent claims directed to a process of measuring a metabolic product in a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Thereafter,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Subsequently, the Supreme Court issued its decision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or </w:t>
      </w:r>
      <w:r>
        <w:rPr>
          <w:rFonts w:ascii="Arial" w:cs="Arial" w:eastAsia="Arial" w:hAnsi="Arial"/>
          <w:sz w:val="16"/>
          <w:szCs w:val="16"/>
          <w:i w:val="1"/>
          <w:iCs w:val="1"/>
          <w:color w:val="auto"/>
        </w:rPr>
        <w:t>Myriad</w:t>
      </w:r>
      <w:r>
        <w:rPr>
          <w:rFonts w:ascii="Arial" w:cs="Arial" w:eastAsia="Arial" w:hAnsi="Arial"/>
          <w:sz w:val="16"/>
          <w:szCs w:val="16"/>
          <w:color w:val="auto"/>
        </w:rPr>
        <w:t>, a case involving patent claims held by Myriad Genetics, Inc. relating to the breast cancer susceptibility genes BRCA1 and BRCA2.</w:t>
      </w:r>
      <w:r>
        <w:rPr>
          <w:rFonts w:ascii="Arial" w:cs="Arial" w:eastAsia="Arial" w:hAnsi="Arial"/>
          <w:sz w:val="16"/>
          <w:szCs w:val="16"/>
          <w:i w:val="1"/>
          <w:iCs w:val="1"/>
          <w:color w:val="auto"/>
        </w:rPr>
        <w:t xml:space="preserve"> Myriad </w:t>
      </w:r>
      <w:r>
        <w:rPr>
          <w:rFonts w:ascii="Arial" w:cs="Arial" w:eastAsia="Arial" w:hAnsi="Arial"/>
          <w:sz w:val="16"/>
          <w:szCs w:val="16"/>
          <w:color w:val="auto"/>
        </w:rPr>
        <w:t>held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an isolated segment of naturally occurring DNA, such as the DNA constituting the BRCA1 and BRCA2 genes, is not patent-eligible subject matter, but that complementary DNA, which is an artificial construct that may be created from RNA transcripts of genes, may be patent-eligible. Thereafter, the USPTO issued a guidance memorandum instructing USPTO examiners on the ramifications of the </w:t>
      </w:r>
      <w:r>
        <w:rPr>
          <w:rFonts w:ascii="Arial" w:cs="Arial" w:eastAsia="Arial" w:hAnsi="Arial"/>
          <w:sz w:val="16"/>
          <w:szCs w:val="16"/>
          <w:i w:val="1"/>
          <w:iCs w:val="1"/>
          <w:color w:val="auto"/>
        </w:rPr>
        <w:t>Prometheus</w:t>
      </w:r>
      <w:r>
        <w:rPr>
          <w:rFonts w:ascii="Arial" w:cs="Arial" w:eastAsia="Arial" w:hAnsi="Arial"/>
          <w:sz w:val="16"/>
          <w:szCs w:val="16"/>
          <w:color w:val="auto"/>
        </w:rPr>
        <w:t xml:space="preserve"> and </w:t>
      </w:r>
      <w:r>
        <w:rPr>
          <w:rFonts w:ascii="Arial" w:cs="Arial" w:eastAsia="Arial" w:hAnsi="Arial"/>
          <w:sz w:val="16"/>
          <w:szCs w:val="16"/>
          <w:i w:val="1"/>
          <w:iCs w:val="1"/>
          <w:color w:val="auto"/>
        </w:rPr>
        <w:t>Myriad</w:t>
      </w:r>
      <w:r>
        <w:rPr>
          <w:rFonts w:ascii="Arial" w:cs="Arial" w:eastAsia="Arial" w:hAnsi="Arial"/>
          <w:sz w:val="16"/>
          <w:szCs w:val="16"/>
          <w:color w:val="auto"/>
        </w:rPr>
        <w:t xml:space="preserve"> rulings and apply the </w:t>
      </w:r>
      <w:r>
        <w:rPr>
          <w:rFonts w:ascii="Arial" w:cs="Arial" w:eastAsia="Arial" w:hAnsi="Arial"/>
          <w:sz w:val="16"/>
          <w:szCs w:val="16"/>
          <w:i w:val="1"/>
          <w:iCs w:val="1"/>
          <w:color w:val="auto"/>
        </w:rPr>
        <w:t>Myriad</w:t>
      </w:r>
      <w:r>
        <w:rPr>
          <w:rFonts w:ascii="Arial" w:cs="Arial" w:eastAsia="Arial" w:hAnsi="Arial"/>
          <w:sz w:val="16"/>
          <w:szCs w:val="16"/>
          <w:color w:val="auto"/>
        </w:rPr>
        <w:t xml:space="preserve"> ruling to natural products and principles including all naturally occurring nucleic acids.</w:t>
      </w:r>
    </w:p>
    <w:p>
      <w:pPr>
        <w:spacing w:after="0" w:line="171"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Certain claims of our in-licensed patent applications contain, and any future patents we may obtain may contain, claims that relate to specific recombinant DNA sequences that are naturally occurring at least in part and, therefore, could be the subject of future challenges made by third parties.</w:t>
      </w:r>
    </w:p>
    <w:p>
      <w:pPr>
        <w:spacing w:after="0" w:line="124"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 xml:space="preserve">We cannot assure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the Supreme Court’s decisions in </w:t>
      </w:r>
      <w:r>
        <w:rPr>
          <w:rFonts w:ascii="Arial" w:cs="Arial" w:eastAsia="Arial" w:hAnsi="Arial"/>
          <w:sz w:val="16"/>
          <w:szCs w:val="16"/>
          <w:i w:val="1"/>
          <w:iCs w:val="1"/>
          <w:color w:val="auto"/>
        </w:rPr>
        <w:t>Prometheus</w:t>
      </w:r>
      <w:r>
        <w:rPr>
          <w:rFonts w:ascii="Arial" w:cs="Arial" w:eastAsia="Arial" w:hAnsi="Arial"/>
          <w:sz w:val="16"/>
          <w:szCs w:val="16"/>
          <w:color w:val="auto"/>
        </w:rPr>
        <w:t xml:space="preserve"> and </w:t>
      </w:r>
      <w:r>
        <w:rPr>
          <w:rFonts w:ascii="Arial" w:cs="Arial" w:eastAsia="Arial" w:hAnsi="Arial"/>
          <w:sz w:val="16"/>
          <w:szCs w:val="16"/>
          <w:i w:val="1"/>
          <w:iCs w:val="1"/>
          <w:color w:val="auto"/>
        </w:rPr>
        <w:t>Myriad</w:t>
      </w:r>
      <w:r>
        <w:rPr>
          <w:rFonts w:ascii="Arial" w:cs="Arial" w:eastAsia="Arial" w:hAnsi="Arial"/>
          <w:sz w:val="16"/>
          <w:szCs w:val="16"/>
          <w:color w:val="auto"/>
        </w:rPr>
        <w:t xml:space="preserve">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6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 xml:space="preserve">Moreover, although the Supreme Court held in </w:t>
      </w:r>
      <w:r>
        <w:rPr>
          <w:rFonts w:ascii="Arial" w:cs="Arial" w:eastAsia="Arial" w:hAnsi="Arial"/>
          <w:sz w:val="18"/>
          <w:szCs w:val="18"/>
          <w:i w:val="1"/>
          <w:iCs w:val="1"/>
          <w:color w:val="auto"/>
        </w:rPr>
        <w:t>Myriad</w:t>
      </w:r>
      <w:r>
        <w:rPr>
          <w:rFonts w:ascii="Arial" w:cs="Arial" w:eastAsia="Arial" w:hAnsi="Arial"/>
          <w:sz w:val="18"/>
          <w:szCs w:val="18"/>
          <w:color w:val="auto"/>
        </w:rPr>
        <w:t xml:space="preserve">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the result of which could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ADSs may be highly volatile and may fluctuate due to factors beyond our control.</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trading price of our ADSs has fluctuated and is likely to continue to fluctuate significantly. The market price of our ADSs depends on a number of factors, some of which are beyond our control. In addition to the factors discussed in this “Item 1.A.—Risk Factors” and elsewhere in this Quarterly Report, these factors include:</w:t>
      </w:r>
    </w:p>
    <w:p>
      <w:pPr>
        <w:spacing w:after="0" w:line="76"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trials of such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9" w:lineRule="exact"/>
        <w:rPr>
          <w:rFonts w:ascii="Arial" w:cs="Arial" w:eastAsia="Arial" w:hAnsi="Arial"/>
          <w:sz w:val="18"/>
          <w:szCs w:val="18"/>
          <w:color w:val="auto"/>
        </w:rPr>
      </w:pPr>
    </w:p>
    <w:p>
      <w:pPr>
        <w:ind w:left="1000" w:right="480" w:hanging="493"/>
        <w:spacing w:after="0" w:line="250"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our current or future collaborators to successfully develop and commercialize product candidates for which we are eligible to receive milestone and royalty payments;</w:t>
      </w:r>
    </w:p>
    <w:p>
      <w:pPr>
        <w:ind w:left="1000" w:right="180" w:hanging="493"/>
        <w:spacing w:after="0" w:line="250"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to adequately scale our manufacturing capabilities and commercial and sales organization to succeed in our commercialization efforts of Libmeldy and to achieve our expected timeline of commencing sales of Libmeldy;</w:t>
      </w: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to succeed in our ongoing commercialization of Strimvelis;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to gain broad insurance coverage and reimbursement for our product candidates, if approved;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to meet or exceed financial or other projections we may provide to the public;</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to meet or exceed the financial or other projections of the investment community;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9" w:lineRule="exact"/>
        <w:rPr>
          <w:rFonts w:ascii="Arial" w:cs="Arial" w:eastAsia="Arial" w:hAnsi="Arial"/>
          <w:sz w:val="18"/>
          <w:szCs w:val="18"/>
          <w:color w:val="auto"/>
        </w:rPr>
      </w:pPr>
    </w:p>
    <w:p>
      <w:pPr>
        <w:ind w:left="1000" w:right="300" w:hanging="493"/>
        <w:spacing w:after="0" w:line="250"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ind w:left="1000" w:right="220" w:hanging="493"/>
        <w:spacing w:after="0" w:line="250"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 w:lineRule="exact"/>
        <w:rPr>
          <w:rFonts w:ascii="Arial" w:cs="Arial" w:eastAsia="Arial" w:hAnsi="Arial"/>
          <w:sz w:val="18"/>
          <w:szCs w:val="18"/>
          <w:color w:val="auto"/>
        </w:rPr>
      </w:pPr>
    </w:p>
    <w:p>
      <w:pPr>
        <w:ind w:left="1000" w:right="280" w:hanging="493"/>
        <w:spacing w:after="0" w:line="250"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significant disruptions to the U.S. and global economies and the related significant volatility and negative pressure in financial markets caused by the COVID-19 global pandemic;</w:t>
      </w: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ADSs by us or our shareholders in the future;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trading volume of our ADSs.</w:t>
      </w:r>
    </w:p>
    <w:p>
      <w:pPr>
        <w:spacing w:after="0" w:line="21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2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our ADS price and trading volume could decline.</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We do not have any control over these analysts. In the event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Concentration of ownership of our ordinary shares (including ordinary shares in the form of ADSs) among our existing executive officers, directors and principal shareholders may prevent new investors from influencing significant corporate decisions.</w:t>
      </w:r>
    </w:p>
    <w:p>
      <w:pPr>
        <w:spacing w:after="0" w:line="3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Based upon our ordinary shares outstanding as of September 30, 2021, our executive officers, directors, greater than five percent shareholders and their affiliates beneficially own approximately 47% of our ordinary shares and ADSs. Depending on the level of attendance at our meetings of shareholders, these shareholders either alone or voting together as a group may be in a position to determine or 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prevent or discourage unsolicited acquisition proposals that our shareholders may believe are in their best interest as shareholders. Some of these persons or entities may have interests that are different than those of our other shareholders. For example, because many of these shareholders purchased their ordinary shares at prices substantially below the price at which ADSs were sold in our initial public offering have held their ordinary shares for a longer period, they may be more interested in selling our company to an acquirer than other investors or they may want us to pursue strategies that deviate from the interests of other shareholders.</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Additional sales of our ADSs, or the perception that these sales could occur, could cause the market price of our ADSs to decline. If any of our large shareholders or members of our management team sell substantial amounts of ADSs in the public market, or the market perceives that such sales may occur, the market price of our ADSs and our ability to raise capital through an issue of equity securities in the future could be adversely affected. Additionally, we filed a registration statement with the SEC and may issue securities in one or more underwritten transactions, in “at-the-market” offerings or in other transactions from time to time. If we were to issue such securities in the public market, the trading price of our ADSs could decline.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Holders of our publicly traded securities are holders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ordinary shares.</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the holder’s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3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2"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they will have no right to any compensation whatsoever.</w:t>
      </w:r>
    </w:p>
    <w:p>
      <w:pPr>
        <w:spacing w:after="0" w:line="28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4"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w:t>
      </w:r>
    </w:p>
    <w:p>
      <w:pPr>
        <w:spacing w:after="0" w:line="196" w:lineRule="exact"/>
        <w:rPr>
          <w:sz w:val="20"/>
          <w:szCs w:val="20"/>
          <w:color w:val="auto"/>
        </w:rPr>
      </w:pPr>
    </w:p>
    <w:p>
      <w:pPr>
        <w:ind w:right="760" w:firstLine="510"/>
        <w:spacing w:after="0" w:line="308" w:lineRule="auto"/>
        <w:rPr>
          <w:sz w:val="20"/>
          <w:szCs w:val="20"/>
          <w:color w:val="auto"/>
        </w:rPr>
      </w:pPr>
      <w:r>
        <w:rPr>
          <w:rFonts w:ascii="Arial" w:cs="Arial" w:eastAsia="Arial" w:hAnsi="Arial"/>
          <w:sz w:val="17"/>
          <w:szCs w:val="17"/>
          <w:color w:val="auto"/>
        </w:rPr>
        <w:t>If any holders or beneficial owners of ADSs bring a claim against us or the depositary in connection with matters arising under the deposit agreement or the ADSs, including claims under federal securities laws, such holder or beneficial owner may not be entitled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both"/>
        <w:ind w:right="100"/>
        <w:spacing w:after="0" w:line="257" w:lineRule="auto"/>
        <w:rPr>
          <w:sz w:val="20"/>
          <w:szCs w:val="20"/>
          <w:color w:val="auto"/>
        </w:rPr>
      </w:pPr>
      <w:r>
        <w:rPr>
          <w:rFonts w:ascii="Arial" w:cs="Arial" w:eastAsia="Arial" w:hAnsi="Arial"/>
          <w:sz w:val="18"/>
          <w:szCs w:val="18"/>
          <w:color w:val="auto"/>
        </w:rPr>
        <w:t>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8"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Holders of our ADSs do not have the same voting rights as the holders of our ordinary shares and may not receive voting materials in time to be able to exercise the holder’s right to vote.</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Except as described in our Annual Report and this Quarterly Report and in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depositary for the ADSs has agreed to pay to the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such holder’s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These restrictions may have an adverse effect on the value of our ADSs.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the sole source of gains to the holders of our ADSs and such holders may never receive a return on their investment.</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the sole source of gains to the holders of our ADSs for the foreseeable future, and such holders may suffer a loss on their investment if they are unable to sell their ADSs at or above the price at which such holders purchased the ADSs.</w:t>
      </w:r>
    </w:p>
    <w:p>
      <w:pPr>
        <w:spacing w:after="0" w:line="3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our ADSs in the public market by our existing shareholders could cause the market price of our ADSs to drop significantly.</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Sales of a substantial number of our ADS in the public market, or the perception that holders of a large number of ADSs intend to sell, could reduce the market price of our ADSs. As of September 30, 2021, we had outstanding 124,770,519 voting and non-voting ordinary shares. The holders of 21,438,727 shares of our ordinary shares are entitled to rights with respect to the registration of their ordinary shares under the Securities Act of 1933, as amended, or the Securities Act. Registration of these ordinary shares under the Securities Act would result in the ADSs representing them becoming freely tradable without restriction, except for ADSs purchased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spacing w:after="0" w:line="254" w:lineRule="auto"/>
        <w:rPr>
          <w:sz w:val="20"/>
          <w:szCs w:val="20"/>
          <w:color w:val="auto"/>
        </w:rPr>
      </w:pPr>
      <w:r>
        <w:rPr>
          <w:rFonts w:ascii="Arial" w:cs="Arial" w:eastAsia="Arial" w:hAnsi="Arial"/>
          <w:sz w:val="18"/>
          <w:szCs w:val="18"/>
          <w:color w:val="auto"/>
        </w:rPr>
        <w:t>by affiliates. In addition, our directors, executive officers and other affiliates may establish, and certain executive officers, directors and affiliates have established, programmatic selling plans under Rule 10b5-1 of the Exchange Act, for the purpose of effecting sales of our ADSs. Generally, sales under such plans by our executive officers and directors require public filings. Any sales of securities by these shareholders, or the perception that those sales may occur, under such programmed selling plans, could have a material adverse effect on the trading price of our ADSs. In addition, as of September 30, 2021, 17,841,171 ordinary shares reserved for issuance upon the exercise of existing options outstanding and issuance of performance-based and time-based restricted shares under our current equity incentive plans will become eligible for sale in the public market in the future, subject to certain legal and contractual limitations.</w:t>
      </w:r>
    </w:p>
    <w:p>
      <w:pPr>
        <w:spacing w:after="0" w:line="30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company whose ADSs are publicly traded in the United States, and our management is required to devote substantial time to new compliance initiatives.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As a public company listed on a U.S. exchange, we have incurred and will continue to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these rules and regulations have increased and will continue to increase our legal and financial compliance costs and make some activities more time-consuming and costly.</w:t>
      </w:r>
    </w:p>
    <w:p>
      <w:pPr>
        <w:spacing w:after="0" w:line="19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Pursuant to Section 404 of the Sarbanes-Oxley Act (“Section 404”), we are required to furnish a report by our management on our internal control over financial reporting and, once we are no longer a “smaller reporting company”, we will be required to furnish an attestation report on internal control over financial reporting issued by our independent registered public accounting firm. In order to achieve and maintain compliance with Section 404, we have documented and evaluated our internal control over financial reporting, which is both costly and challenging. In this regard, we continue to dedicate internal resources, have engaged outside consultants and adopted a detailed work plan to continually assess and document the adequacy of internal control over financial reporting, taken steps to improve control processes as appropriate, validated through testing that controls are functioning as documented and have implemented a continuous reporting and improvement process for internal control over financial reporting. Despite our efforts, there is a risk in any given year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Moreover, if our independent registered public accounting firm is unable to express an opinion as to the effectiveness of our internal control over financial reporting, investors may lose confidence in the accuracy and completeness of our financial reports and the market price of our ADSs could be negatively affected, and we could become subject to investigations by the SEC or other regulatory authorities or to shareholder litigation, which could have an adverse impact on the market price or our ADSs and cause us to incur additional expenses.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protections and restrictions found in provisions under The City Code on Takeovers and Mergers do not apply to us.</w:t>
      </w:r>
    </w:p>
    <w:p>
      <w:pPr>
        <w:spacing w:after="0" w:line="225"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In February 2020, the UK Takeover Panel confirmed that we are not considered to be subject to The City Code on Takeovers and Mergers, or The Takeover Code, and, as a result, our shareholders are not entitled to the benefit of certain takeover offer protections provided under The Takeover Code. The Takeover Code provides a framework within which takeovers of companies are regulated and conducted and which may operate to prohibit certain arrangements and courses of conduct considered customary in the United States. There are no provisions in our Articles of Association that replicate the provisions of The Takeover Code.</w:t>
      </w:r>
    </w:p>
    <w:p>
      <w:pPr>
        <w:spacing w:after="0" w:line="18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believe that this position is unlikely to change at any time in the near future, but in accordance with good practice, we will review the situation on a regular basis and cooperate and consult with the UK Takeover Panel if there is any material change in our circumstances with respect to matters which the UK Takeover Panel might consider relevant in their determination of jurisdiction over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600" w:firstLine="51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These rights differ in certain respects from the rights of shareholders in typical U.S. corporations.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principal differences include the following:</w:t>
      </w:r>
    </w:p>
    <w:p>
      <w:pPr>
        <w:spacing w:after="0" w:line="117" w:lineRule="exact"/>
        <w:rPr>
          <w:sz w:val="20"/>
          <w:szCs w:val="20"/>
          <w:color w:val="auto"/>
        </w:rPr>
      </w:pPr>
    </w:p>
    <w:p>
      <w:pPr>
        <w:ind w:left="1000" w:right="40" w:hanging="493"/>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ind w:left="1000" w:hanging="493"/>
        <w:spacing w:after="0" w:line="25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English law, it is only on a poll that the number of shares determines the number of votes a holder may cast. The voting rights of ADSs are also governed by the provisions of a deposit agreement with our depositary bank.</w:t>
      </w:r>
    </w:p>
    <w:p>
      <w:pPr>
        <w:spacing w:after="0" w:line="1" w:lineRule="exact"/>
        <w:rPr>
          <w:rFonts w:ascii="Arial" w:cs="Arial" w:eastAsia="Arial" w:hAnsi="Arial"/>
          <w:sz w:val="18"/>
          <w:szCs w:val="18"/>
          <w:color w:val="auto"/>
        </w:rPr>
      </w:pPr>
    </w:p>
    <w:p>
      <w:pPr>
        <w:ind w:left="1000" w:right="140" w:hanging="493"/>
        <w:spacing w:after="0" w:line="281"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 w:lineRule="exact"/>
        <w:rPr>
          <w:rFonts w:ascii="Arial" w:cs="Arial" w:eastAsia="Arial" w:hAnsi="Arial"/>
          <w:sz w:val="16"/>
          <w:szCs w:val="16"/>
          <w:color w:val="auto"/>
        </w:rPr>
      </w:pPr>
    </w:p>
    <w:p>
      <w:pPr>
        <w:ind w:left="1000" w:right="40" w:hanging="493"/>
        <w:spacing w:after="0" w:line="250"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spacing w:after="0" w:line="1" w:lineRule="exact"/>
        <w:rPr>
          <w:rFonts w:ascii="Arial" w:cs="Arial" w:eastAsia="Arial" w:hAnsi="Arial"/>
          <w:sz w:val="18"/>
          <w:szCs w:val="18"/>
          <w:color w:val="auto"/>
        </w:rPr>
      </w:pPr>
    </w:p>
    <w:p>
      <w:pPr>
        <w:ind w:left="1000" w:right="40" w:hanging="493"/>
        <w:spacing w:after="0" w:line="281"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4" w:lineRule="exact"/>
        <w:rPr>
          <w:rFonts w:ascii="Arial" w:cs="Arial" w:eastAsia="Arial" w:hAnsi="Arial"/>
          <w:sz w:val="16"/>
          <w:szCs w:val="16"/>
          <w:color w:val="auto"/>
        </w:rPr>
      </w:pPr>
    </w:p>
    <w:p>
      <w:pPr>
        <w:ind w:left="1000" w:right="40" w:hanging="493"/>
        <w:spacing w:after="0" w:line="25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29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76"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testing required to be conducted by us in connection with Section 404, and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6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required to disclose changes made in our internal controls and procedures on a quarterly basis, and our management is required to assess the effectiveness of these controls annually. However, for as long as we are a “smaller reporting company,” our independent registered public accounting firm will not be required to attest to the effectiveness of our internal control over financial reporting pursuant to Section 404. We will qualify as a “smaller reporting company” if the market value of our ADSs held by non-affiliates is below $250 million (or $700 million if our annual revenue is less than $100 million) as of the last business day of our most recently completed second fiscal quarter.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5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conduct business globally. The tax treatment of the company or any of the group companies could be materially adversely affected by several factors, including, but not limited to: (i) changing tax laws, regulations and treaties, or the interpretation thereof; (ii) tax policy initiatives and reforms under consideration (such as those related to the Organization for Economic Co-Operation and Development’s, or OECD, Base Erosion and Profit Shifting, or BEPS, Project, the European Commission’s state aid investigations and other initiatives); (iii) the practices of tax authorities in jurisdictions in which we operate; and (iv)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6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Taxing authorities could challenge our historical and future tax positions or our allocation of taxable income among our subsidiaries, and tax laws to which we are subject could change in a manner adverse to us.</w:t>
      </w:r>
    </w:p>
    <w:p>
      <w:pPr>
        <w:spacing w:after="0" w:line="62"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If we are assessed with additional taxes, this may result in a material adverse effect on our results of operations and/or financial condition.</w:t>
      </w:r>
    </w:p>
    <w:p>
      <w:pPr>
        <w:spacing w:after="0" w:line="87"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 controlled foreign corporation, there could be adverse U.S. federal income tax consequences to certain U.S. holders.</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global intangible low-taxed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of such corporation. The determination of CFC status is complex and includes attribution rules, the application of which is not entirely certain.</w:t>
      </w:r>
    </w:p>
    <w:p>
      <w:pPr>
        <w:spacing w:after="0" w:line="60"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We believe that we were not a CFC in the 2020 taxable year, but we may become a CFC in a subsequent taxable year. If we are classified as both a CFC and a passive foreign investment company, or PFIC (as discussed below), we generally will not be treated as a PFIC with respect to those U.S. holders that meet the definition of a Ten Percent Shareholder during the period in which we are a CFC.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If we are a PFIC there could be adverse U.S. federal income tax consequences to U.S. holders.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Under the Code, we will be a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7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do not believe that we were a PFIC in the 2020 taxable year. 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As a result, there can be no assurance regarding if we currently are treated as a PFIC, or may be treated as a PFIC in the future.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certain circumstances, a U.S. holder of shares in a PFIC may alleviate some of the adverse tax consequences described above by making either a “qualified electing fund,” or QEF, election or a mark-to-market election (if our ordinary shares or ADSs constitute “marketable” securities under the Code), which each require the inclusion of a pro rata share of our income on a current basis. However, a U.S. holder may make a QEF election with respect to our ordinary shares or ADSs only if we agree to furnish such U.S. holder annually with required information, and we have not determined if we intend to prepare or provide the information that would enable U.S. holders to make a QEF election. However, a U.S. holder would be able to make a mark-to-market election with respect to our ordinary shares or ADSs as long as those shares or ADSs constitute marketable securities under the Code.</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use UK net operating loss and tax credit carryforwards and certain built-in losses to reduce future tax payments or benefit from favorable UK tax legislation.</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a UK incorporated and tax resident entity, we are subject to UK corporate taxation on tax-adjusted trading profits. Due to the nature of our business, we have generated losses since inception and therefore have not paid any UK corporation tax. As of December 31, 2020, we had cumulative carryforward tax losses of $390.1 million.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will be limited each year to £5.0 million plus, broadly, an incremental 50% of UK taxable profits. In addition, if we were to have a major change in the nature of the conduct of our trade, loss carryforwards may be restricted or extinguished.</w:t>
      </w:r>
    </w:p>
    <w:p>
      <w:pPr>
        <w:spacing w:after="0" w:line="70"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As a company that carries out extensive research and development activities, we seek to benefit from two UK research and development tax relief programs, the Small and Medium-sized Enterprises R&amp;D Tax Credit Program, or SME Program, and the Research and Development Expenditure Credit program, or RDEC Program. Where available, we may be able to surrender the trading losses that arise from our qualifying research and development activities for cash or carried forward for potential offset against future profits (subject to relevant restrictions). The majority of our pipeline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The U.K. Finance Act of 2021 introduced a cap on payable credit claims under the SME Program in excess of £20,000 with effect from April 2021 by reference to, broadly,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spacing w:after="0" w:line="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issued, would cover our product candidates, and accordingly, future upfront fees, milestone fees, product revenues and royalties could be taxed at this tax rate. When taken in combination with the enhanced relief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0" w:name="page101"/>
    <w:bookmarkEnd w:id="100"/>
    <w:p>
      <w:pPr>
        <w:ind w:right="80"/>
        <w:spacing w:after="0" w:line="279" w:lineRule="auto"/>
        <w:rPr>
          <w:sz w:val="20"/>
          <w:szCs w:val="20"/>
          <w:color w:val="auto"/>
        </w:rPr>
      </w:pPr>
      <w:r>
        <w:rPr>
          <w:rFonts w:ascii="Arial" w:cs="Arial" w:eastAsia="Arial" w:hAnsi="Arial"/>
          <w:sz w:val="17"/>
          <w:szCs w:val="17"/>
          <w:color w:val="auto"/>
        </w:rPr>
        <w:t>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U.S. tax attributes may be limited.</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Under Section 382 and 383 of the Internal Revenue Code of 1986, as amended (the “Code”), if a corporation undergoes an “ownership change,” generally defined as a greater than 50% change (by value) in its equity ownership over a three-year period, the corporation’s ability to use its pre-change tax attributes (such as research tax credits) to offset its post-change tax liabilities may be limited. We have completed several financings since our inception, which we believe have resulted in a change in control as defined by Section 382 of the Code. We may also experience ownership changes in the future as a result of subsequent shifts in our share ownership. As a result, if we incur U.S. federal tax liability, our ability to use our pre-change tax attributes carryforwards to offset U.S. federal tax liability may be subject to limitations, which could potentially result in increased future tax liability to us.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Domicile</w:t>
      </w:r>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June 2016, a majority of the eligible members of the electorate in the United Kingdom voted to withdraw from the European Union in a national referendum, commonly referred to as Brexit. The withdrawal of the United Kingdom from the European Union took effect on January 31, 2020 (the “Exit Day”). A post-Brexit transition period, or the Transition Period, started on the Exit Day and expired on December 31, 2020. During the Transition Period, most laws of the European Union continued to apply to the United Kingdom while the future relationship between the United Kingdom and the European Union was formally negotiated. The United Kingdom and the European Union have signed an EU-UK Trade and Cooperation Agreement, which became provisionally applicable in January 2021 and was ratified in April 2021. The long-term effects of Brexit will depend in part on how the EU-UK Trade and Cooperation Agreement, and any future agreements signed by the United Kingdom and the European Union, take effect in practice. Such a withdrawal from the European Union is unprecedented, and it is unclear how the restrictions on the United Kingdom’s access to the single market for goods, capital, services and labor within the European Union and the wider commercial, legal and regulatory environment, could impact our current and future operations and clinical activities in the United Kingdom in the long-term.</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particular, it could lead to a period of considerable uncertainty in relation to the United Kingdom financial and banking markets, as well as on the regulatory process in Europe. As a result of Brexit, the EMA, formerly situated in London, relocated to Amsterdam. Further, there is considerable uncertainty resulting from a lack of precedent and the complexity of the United Kingdom and EU’s intertwined legal regimes as to how Brexit, now that the Transition Period has expired, will impact the life sciences industry in Europe, including our company, including with respect to ongoing or future clinical trials. Since a significant proportion of the regulatory framework in the United Kingdom applicable to our business and our product candidates is derived from EU directives and regulations, the withdrawal could materially impact the regulatory regime with respect to the development, manufacture, importation, approval and commercialization of our product candidates in the United Kingdom or the European Union now that the two regulatory regimes have the potential to diverge. The impact will largely depend on the model and means by which the United Kingdom’s relationship with the European Union is governed post-Brexit. For example, now that the Transition Period has expired, Great Britain will no longer be covered by the centralized procedures for obtaining EEA-wide marketing authorization from the EMA, and a separate process for authorization of drug products, including our product candidates, will be required in Great Britain resulting in an authorization covering the United Kingdom or Great Britain only. For a period of two years from January 1, 2021, the MHRA may rely on a decision taken by the European Commission on the approval of a new marketing authorization in the centralized procedure, in order to more quickly grant a Great Britain marketing authorization. A separate application will, however, still be required.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6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Brexit may also result in a reduction of funding to the EMA if the United Kingdom no longer makes financial contributions to European institutions, such as the EMA. If United Kingdom funding is so reduced, it could create delays in the EMA issuing regulatory approvals for our product candidates and, accordingly, have a material adverse effect on our business, financial condition, results of operations or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firstLine="510"/>
        <w:spacing w:after="0" w:line="257" w:lineRule="auto"/>
        <w:rPr>
          <w:sz w:val="20"/>
          <w:szCs w:val="20"/>
          <w:color w:val="auto"/>
        </w:rPr>
      </w:pPr>
      <w:r>
        <w:rPr>
          <w:rFonts w:ascii="Arial" w:cs="Arial" w:eastAsia="Arial" w:hAnsi="Arial"/>
          <w:sz w:val="18"/>
          <w:szCs w:val="18"/>
          <w:color w:val="auto"/>
        </w:rPr>
        <w:t>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w:t>
      </w:r>
    </w:p>
    <w:p>
      <w:pPr>
        <w:spacing w:after="0" w:line="188"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As a result of this uncertainty, global financial markets could experience significant volatility, which could adversely affect the market price of our ADSs. Asset valuations, currency exchange rates and credit ratings may also be subject to increased market volatility. Lack of clarity about future UK laws and regulations as the United Kingdom determines which European Union rules and regulations to replicate or replace with its own rules and regulations (which may result in significant divergence from European rules and regulations),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w:t>
      </w:r>
    </w:p>
    <w:p>
      <w:pPr>
        <w:spacing w:after="0" w:line="16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If other EU Member States pursue withdrawal, barrier-free access between the United Kingdom and other EU Member States or among the EEA overall could be diminished or eliminated.</w:t>
      </w:r>
    </w:p>
    <w:p>
      <w:pPr>
        <w:spacing w:after="0" w:line="170" w:lineRule="exact"/>
        <w:rPr>
          <w:sz w:val="20"/>
          <w:szCs w:val="20"/>
          <w:color w:val="auto"/>
        </w:rPr>
      </w:pPr>
    </w:p>
    <w:p>
      <w:pPr>
        <w:ind w:right="360" w:firstLine="510"/>
        <w:spacing w:after="0" w:line="296"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The United Kingdom will lose the benefits of global trade agreements negotiated by the European Union on behalf of its members, which may result in increased trade barriers that could make our doing business in the European Union and the EEA more difficult. Even prior to any change to the United Kingdom’s relationship with the European Union, the announcement of Brexit has created economic uncertainty surrounding the terms of Brexit and its consequences which could adversely affect our business, revenue, financial condition, results of operations and could adversely affect the market price of our ADSs.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These adverse impacts may be exacerbated by the ongoing economic disruption caused by the COVID-19 global pandemic. Although we are based in the United Kingdom, we source research and development, manufacturing, consulting and other services from the United States and the European Union.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are incorporated under English law. Certain members of our board of directors and senior management are non-residents of the United States, and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right="100" w:firstLine="510"/>
        <w:spacing w:after="0" w:line="26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debt service obligations and may incur additional indebtedness in the future, which could adversely affect our financial condition, our results of operations and our ability to react to changes in our business.</w:t>
      </w:r>
    </w:p>
    <w:p>
      <w:pPr>
        <w:spacing w:after="0" w:line="6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We currently have $33.0 million of principal indebtedness outstanding under the Amended Credit Facility. We have the ability to borrow up to an additional $67.0 million in the future under the Amended Credit Facility upon satisfaction of certain conditions. Our existing indebtedness and any additional indebtedness we may incur could require us to divert funds identified for other purposes for debt service and impair our liquidity position.</w:t>
      </w:r>
    </w:p>
    <w:p>
      <w:pPr>
        <w:spacing w:after="0" w:line="14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fact that a portion of our cash, cash equivalents, and marketable securities could be needed to make payments on our indebtedness could have important consequences, including:</w:t>
      </w:r>
    </w:p>
    <w:p>
      <w:pPr>
        <w:spacing w:after="0" w:line="62"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 or increased interest rates;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restricting our ability to use our cash, cash equivalents, and marketable securities for other purposes;</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markets in which we operate, which would place us at a competitive disadvantage compared to our competitors that may have less debt;</w:t>
      </w: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limiting our ability to borrow additional funds for working capital, capital expenditures and other investments;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failing to comply with the covenants in our debt agreements could result in all of our indebtedness becoming immediately due and payable.</w:t>
      </w:r>
    </w:p>
    <w:p>
      <w:pPr>
        <w:spacing w:after="0" w:line="23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our business does not generate sufficient cash flow from operations or if future borrowings are not available to us under the Amended Credit Facility or otherwise in amounts sufficient to enable us to fund our liquidity needs, our financial condition and results of operations may be adversely affected. Our inability to make scheduled payments on our debt obligations in the future would require us to refinance all or a portion of our indebtedness on or before maturity, sell assets or seek additional equity investment. We may not be able to take any of such actions on a timely basis on terms satisfactory to us or at all.</w:t>
      </w:r>
    </w:p>
    <w:p>
      <w:pPr>
        <w:spacing w:after="0" w:line="18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Amended Credit Facility contains usual and customary restrictive covenants relating to the operation of our business, including restrictions on our ability to:</w:t>
      </w:r>
    </w:p>
    <w:p>
      <w:pPr>
        <w:spacing w:after="0" w:line="62" w:lineRule="exact"/>
        <w:rPr>
          <w:sz w:val="20"/>
          <w:szCs w:val="20"/>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undergo a change in control;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material agreements and organizational documents;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 certain mergers, consolidations, asset sales and acquisitions;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pay dividends on, or redeem or repurchase, share capital, enter into transactions with affiliates, or materially change our business.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natural disasters, and our business continuity and disaster recovery plans may not adequately protect us.</w:t>
      </w:r>
    </w:p>
    <w:p>
      <w:pPr>
        <w:spacing w:after="0" w:line="14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Natural disasters, including earthquakes, fires, flooding and health epidemics and pandemics, could severely disrupt our business. If a natural disaster occurred, we could be prevented from using all or a significant portion of our facilities, which could make it difficult or impossible for us to continue our business for a substantial period of time. A natural disaster could also damage critical infrastructure and affect our third-party contract manufacturers. The Company’s disaster recovery and business continuity plans are currently limited and may not prove adequate in the event of a serious natural disaster or similar event. As such, the Company could incur substantial expenses if a natural disaster occurs, which could have a material impact on the Company’s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phasing out of LIBOR may adversely affect the value of any outstanding debt instruments.</w:t>
      </w:r>
    </w:p>
    <w:p>
      <w:pPr>
        <w:spacing w:after="0" w:line="117" w:lineRule="exact"/>
        <w:rPr>
          <w:sz w:val="20"/>
          <w:szCs w:val="20"/>
          <w:color w:val="auto"/>
        </w:rPr>
      </w:pPr>
    </w:p>
    <w:p>
      <w:pPr>
        <w:jc w:val="both"/>
        <w:ind w:right="480" w:firstLine="510"/>
        <w:spacing w:after="0" w:line="263" w:lineRule="auto"/>
        <w:rPr>
          <w:sz w:val="20"/>
          <w:szCs w:val="20"/>
          <w:color w:val="auto"/>
        </w:rPr>
      </w:pPr>
      <w:r>
        <w:rPr>
          <w:rFonts w:ascii="Arial" w:cs="Arial" w:eastAsia="Arial" w:hAnsi="Arial"/>
          <w:sz w:val="18"/>
          <w:szCs w:val="18"/>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in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3" w:name="page104"/>
    <w:bookmarkEnd w:id="103"/>
    <w:p>
      <w:pPr>
        <w:ind w:right="120"/>
        <w:spacing w:after="0" w:line="263" w:lineRule="auto"/>
        <w:rPr>
          <w:sz w:val="20"/>
          <w:szCs w:val="20"/>
          <w:color w:val="auto"/>
        </w:rPr>
      </w:pPr>
      <w:r>
        <w:rPr>
          <w:rFonts w:ascii="Arial" w:cs="Arial" w:eastAsia="Arial" w:hAnsi="Arial"/>
          <w:sz w:val="18"/>
          <w:szCs w:val="18"/>
          <w:color w:val="auto"/>
        </w:rPr>
        <w:t>July 2017, the Chief Executive of the UK Financial Conduct Authority, or FCA, which regulates LIBOR, announced that the FCA will no longer persuade or compel banks to submit rates for the calculation of LIBOR after 2021. This deadline was extended until June 2023 for a number of key U.S. dollar benchmark maturities.</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the LIBOR-based debt instruments to be materially different than expected.</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62"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 change in accounting pronouncements or taxation rules or practices could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We could be required to modify a current tax or accounting position as a result of any such change, and this could adversely affect our reported financial results and could change the way we conduct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could be the subject of a securities class action litigation. The risk is especially relevant to us because such litigations are often brought against companies following a decline in the market price of its securities, and biotechnology and pharmaceutical companies have experienced significant securities price volatility in recent years. If such a litigation were brought against us, it could result in substantial costs and could divert management’s attention and resources, which would be harmful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comply with the Exchange Act’s domestic reporting regime, which involves significant expense.</w:t>
      </w:r>
    </w:p>
    <w:p>
      <w:pPr>
        <w:spacing w:after="0" w:line="11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As of June 2019, we determined that we no longer qualified as a “foreign private issuer” as such term is defined in Rule 405 under the Securities Act, which means that we are required to comply with all of the periodic disclosure and current reporting requirements of the Exchange Act applicable to U.S. domestic issuers. As of January 2020, we have been required to comply with the Exchange Act reporting and other requirements applicable to U.S. domestic issuers, which are more detailed and extensive than the requirements for foreign private issuers. We have been required to make changes in our corporate governance practices in accordance with various SEC and Nasdaq rules. As a result of such compliance, the regulatory and compliance costs to us under U.S. securities laws have been higher than the costs we incurred as a foreign private issuer, and therefore, the loss of foreign private issuer status has increased our legal and financial compliance costs. We expect that compliance with the rules and regulations applicable to U.S. domestic issuers will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In addition, our officers and directors are no longer exempt from the reporting and “short-swing” profit recovery provisions of Section 16 of the Exchange Act and related rules with respect to their purchase and sales of our securities.</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no longer an “emerging growth company,” and we will incur additional expenses and need to devote increased management time to comply with disclosure obligations that now apply to the Company.</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From our initial public offering until December 31, 2019, we were an “emerging growth company,” as defined in the Jumpstart Our Business Startups Act of 2012, or the JOBS Act. While we were an emerging growth company, we were permitted to take advantage of reduced regulatory and reporting requirements that are otherwise generally applicable to public companies. These included, without limitation, reduced disclosure obligations regarding executive compensation and exemptions from the requirements of holding non-binding advisory votes on executive compensation and golden parachute payments. Because we ceased to be an emerging growth company, we have incurred and expect to continue to incur additional expenses and to devote increased management time toward ensuring compliance with those requirements applicable to companies that are not emerging growth companies.</w:t>
      </w:r>
    </w:p>
    <w:p>
      <w:pPr>
        <w:spacing w:after="0" w:line="56"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Even though we no longer qualify as an emerging growth company, we will qualify as a “smaller reporting company” if the market value of our ADSs held by non-affiliates is below $250 million (or $700 million if our annual revenue is less than $100 million) as of the last business day of our most recently completed second fiscal quarter, which would allow us to take advantage of many of the same exemptions from disclosure requirements.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July 1, 2021, we sold 1,227,738 ordinary shares to Pharming for total consideration of $7.5 million. The consideration is payment for fair value of ordinary shares with a fair value of $4.1 million plus a $3.4 million premium to fair value of the ordinary shares, as described herein at Item 1, Note 13. The offer, sale and issuance of the ordinary shares is exempt from registration pursuant to Section 4(a)(2) of the Securities Act of 1933, as amended, as a transaction by an issuer not involving a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November 3, 2021, Frank Thomas, President and Chief Operating Officer of the Company, submitted his resignation and entered into a Transitional Services Agreement with the Company (the “Transitional Services Agreement”). Mr. Thomas’ resignation was not due to any matter related to the Company’s operations, policies or practices, his experiences while serving in those positions or any disagreement with the management team.</w:t>
      </w:r>
    </w:p>
    <w:p>
      <w:pPr>
        <w:spacing w:after="0" w:line="4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Pursuant to the Transitional Services Agreement, Mr. Thomas will continue to serve as the President and Chief Operating Officer and provide services for the Company on a full-time basis until April 1, 2022, unless his employment ends earlier or the Company and Mr. Thomas agree to an extension (such period, the “Transition Period”). During the Transition Period, the Transitional Services Agreement provides, among other things, that in exchange for entering into and complying with the Transitional Services Agreement, which includes a customary release of claims, Mr. Thomas will (i) continue to receive his base salary, (ii) remain eligible to participate in the Company’s group employee benefit plan, (iii) continue to vest in his equity awards and (iv) receive his 2021 bonus, which shall be the greater of his target bonus or the bonus based on corporate performance, to be paid at the time that the Company pays its executives their annual incentive compensation for 2021, which will be no later than March 15, 2022. In addition, at the conclusion of his employment with the Company, provided that, among other things, Mr. Thomas’ employment is not terminated by the Company for “cause” and subject to the execution and effectiveness of an updated release, Mr. Thomas will be entitled to receive (a) for up to six months, the monthly employer premium equal to the same level of group health coverage as in effect at the conclusion of Mr. Thomas’ employment, (b) a prorated bonus for calendar year 2022, to be paid on the first practicable payroll date following the date of the conclusion of Mr. Thomas’s employment and (c) subject to approval by the Company’s Board of Directors (or the Compensation Committee thereof), an extension of the exercise period with respect to the vested shares of his share options as of the date of the conclusion of Mr. Thomas’s employment, until the earlier of (x) the one year anniversary of the date of the conclusion of Mr. Thomas’s employment or (y) the expiration date of the applicable share option.</w:t>
      </w:r>
    </w:p>
    <w:p>
      <w:pPr>
        <w:spacing w:after="0" w:line="63"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foregoing summary of the Transitional Services Agreement is qualified in its entirety by reference to the full agreement filed as Exhibit 10.1 to this Quarterly Report on Form 10-Q and incorporated by reference herein.</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320" w:type="dxa"/>
            <w:vAlign w:val="bottom"/>
          </w:tcPr>
          <w:p>
            <w:pPr>
              <w:spacing w:after="0"/>
              <w:rPr>
                <w:sz w:val="14"/>
                <w:szCs w:val="14"/>
                <w:color w:val="auto"/>
              </w:rPr>
            </w:pPr>
          </w:p>
        </w:tc>
        <w:tc>
          <w:tcPr>
            <w:tcW w:w="60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320" w:type="dxa"/>
            <w:vAlign w:val="bottom"/>
          </w:tcPr>
          <w:p>
            <w:pPr>
              <w:spacing w:after="0"/>
              <w:rPr>
                <w:sz w:val="14"/>
                <w:szCs w:val="14"/>
                <w:color w:val="auto"/>
              </w:rPr>
            </w:pPr>
          </w:p>
        </w:tc>
        <w:tc>
          <w:tcPr>
            <w:tcW w:w="6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320" w:type="dxa"/>
            <w:vAlign w:val="bottom"/>
            <w:tcBorders>
              <w:top w:val="single" w:sz="8" w:color="auto"/>
              <w:bottom w:val="single" w:sz="8" w:color="auto"/>
            </w:tcBorders>
          </w:tcPr>
          <w:p>
            <w:pPr>
              <w:spacing w:after="0"/>
              <w:rPr>
                <w:sz w:val="11"/>
                <w:szCs w:val="11"/>
                <w:color w:val="auto"/>
              </w:rPr>
            </w:pPr>
          </w:p>
        </w:tc>
        <w:tc>
          <w:tcPr>
            <w:tcW w:w="446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5"/>
                <w:szCs w:val="15"/>
                <w:color w:val="auto"/>
              </w:rPr>
            </w:pPr>
          </w:p>
        </w:tc>
        <w:tc>
          <w:tcPr>
            <w:tcW w:w="10400" w:type="dxa"/>
            <w:vAlign w:val="bottom"/>
            <w:gridSpan w:val="6"/>
          </w:tcPr>
          <w:p>
            <w:pPr>
              <w:spacing w:after="0" w:line="182"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Transitional Services Agreement, dated November 3, 2021, between the Company, Orchard Therapeutics North America and Frank Thomas.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400" w:type="dxa"/>
            <w:vAlign w:val="bottom"/>
            <w:gridSpan w:val="6"/>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Pursuant to Section 302 of the Sarbanes-Oxley Act of 2002.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2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0" w:type="dxa"/>
            <w:vAlign w:val="bottom"/>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10400" w:type="dxa"/>
            <w:vAlign w:val="bottom"/>
            <w:gridSpan w:val="6"/>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8780" w:type="dxa"/>
            <w:vAlign w:val="bottom"/>
            <w:gridSpan w:val="2"/>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 within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364"/>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5"/>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4"/>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40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the exhibit is being furnished, not filed, with this report.</w:t>
      </w:r>
    </w:p>
    <w:p>
      <w:pPr>
        <w:spacing w:after="0" w:line="50" w:lineRule="exact"/>
        <w:rPr>
          <w:sz w:val="20"/>
          <w:szCs w:val="20"/>
          <w:color w:val="auto"/>
        </w:rPr>
      </w:pPr>
    </w:p>
    <w:p>
      <w:pPr>
        <w:ind w:left="5480" w:right="4600" w:hanging="5472"/>
        <w:spacing w:after="0" w:line="905" w:lineRule="auto"/>
        <w:tabs>
          <w:tab w:leader="none" w:pos="4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ORCHARD THERAPEUTICS PLC</w:t>
      </w:r>
    </w:p>
    <w:p>
      <w:pPr>
        <w:spacing w:after="0" w:line="229" w:lineRule="exact"/>
        <w:rPr>
          <w:sz w:val="20"/>
          <w:szCs w:val="20"/>
          <w:color w:val="auto"/>
        </w:rPr>
      </w:pPr>
    </w:p>
    <w:p>
      <w:pPr>
        <w:spacing w:after="0"/>
        <w:tabs>
          <w:tab w:leader="none" w:pos="5620" w:val="left"/>
          <w:tab w:leader="none" w:pos="7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Bobby Gaspar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Bobby Gaspar</w:t>
      </w:r>
    </w:p>
    <w:p>
      <w:pPr>
        <w:spacing w:after="0" w:line="2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20" w:val="left"/>
          <w:tab w:leader="none" w:pos="78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Frank E. Thomas</w:t>
      </w:r>
    </w:p>
    <w:p>
      <w:pPr>
        <w:spacing w:after="0" w:line="2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jc w:val="center"/>
        <w:ind w:left="592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40"/>
          </w:cols>
          <w:pgMar w:left="320" w:top="553" w:right="7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November 3, 2021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Frank Thomas</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Transitional Services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Frank:</w:t>
      </w:r>
    </w:p>
    <w:p>
      <w:pPr>
        <w:spacing w:after="0" w:line="206"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This letter confirms that you have resigned without Good Reason your employment with Orchard Therapeutics plc (the “</w:t>
      </w:r>
      <w:r>
        <w:rPr>
          <w:rFonts w:ascii="Arial" w:cs="Arial" w:eastAsia="Arial" w:hAnsi="Arial"/>
          <w:sz w:val="21"/>
          <w:szCs w:val="21"/>
          <w:u w:val="single" w:color="auto"/>
          <w:color w:val="auto"/>
        </w:rPr>
        <w:t>Parent</w:t>
      </w:r>
      <w:r>
        <w:rPr>
          <w:rFonts w:ascii="Arial" w:cs="Arial" w:eastAsia="Arial" w:hAnsi="Arial"/>
          <w:sz w:val="21"/>
          <w:szCs w:val="21"/>
          <w:color w:val="auto"/>
        </w:rPr>
        <w:t>”) and Orchard Therapeutics North America (the “</w:t>
      </w:r>
      <w:r>
        <w:rPr>
          <w:rFonts w:ascii="Arial" w:cs="Arial" w:eastAsia="Arial" w:hAnsi="Arial"/>
          <w:sz w:val="21"/>
          <w:szCs w:val="21"/>
          <w:u w:val="single" w:color="auto"/>
          <w:color w:val="auto"/>
        </w:rPr>
        <w:t>U.S. Subsidiary</w:t>
      </w:r>
      <w:r>
        <w:rPr>
          <w:rFonts w:ascii="Arial" w:cs="Arial" w:eastAsia="Arial" w:hAnsi="Arial"/>
          <w:sz w:val="21"/>
          <w:szCs w:val="21"/>
          <w:color w:val="auto"/>
        </w:rPr>
        <w:t>”, and together with the Parent, the “</w:t>
      </w:r>
      <w:r>
        <w:rPr>
          <w:rFonts w:ascii="Arial" w:cs="Arial" w:eastAsia="Arial" w:hAnsi="Arial"/>
          <w:sz w:val="21"/>
          <w:szCs w:val="21"/>
          <w:u w:val="single" w:color="auto"/>
          <w:color w:val="auto"/>
        </w:rPr>
        <w:t>Company</w:t>
      </w:r>
      <w:r>
        <w:rPr>
          <w:rFonts w:ascii="Arial" w:cs="Arial" w:eastAsia="Arial" w:hAnsi="Arial"/>
          <w:sz w:val="21"/>
          <w:szCs w:val="21"/>
          <w:color w:val="auto"/>
        </w:rPr>
        <w:t>”), and that the Company has accepted such resignation, with a mutually agreeable effective date of April 1, 2022 (or such other date consistent with the terms set forth below). The Company appreciates your service and would like to make this transition as smooth as possible. To that end, this letter reflects the arrangement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discussed by you and the Company that allows you to remain employed by the Company until April 1, 2022 (unless your employment ends on an earlier date which can only happen if it is consistent with the terms set forth below or if you and the Company agree in writing to extend it to a later date), after which you will be eligible for the Health Benefits, the 2022 Prorated Bonus and the Extended Exercise Period set forth in the Agreement below, all subject to the terms of the Agreement.</w:t>
      </w:r>
    </w:p>
    <w:p>
      <w:pPr>
        <w:spacing w:after="0" w:line="184"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actual last day of your employment in accordance with the paragraph above is referred to herein as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w:t>
      </w:r>
      <w:r>
        <w:rPr>
          <w:rFonts w:ascii="Arial" w:cs="Arial" w:eastAsia="Arial" w:hAnsi="Arial"/>
          <w:sz w:val="22"/>
          <w:szCs w:val="22"/>
          <w:color w:val="auto"/>
        </w:rPr>
        <w:t>.” The time period between November 1, 2021 and the Date of Termination is referred to herein as the “</w:t>
      </w:r>
      <w:r>
        <w:rPr>
          <w:rFonts w:ascii="Arial" w:cs="Arial" w:eastAsia="Arial" w:hAnsi="Arial"/>
          <w:sz w:val="22"/>
          <w:szCs w:val="22"/>
          <w:u w:val="single" w:color="auto"/>
          <w:color w:val="auto"/>
        </w:rPr>
        <w:t>Transition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w:t>
      </w:r>
    </w:p>
    <w:p>
      <w:pPr>
        <w:spacing w:after="0" w:line="18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ending of your employment is a termination other than for Good Reason under the Employment Agreement between you, the Parent and the U.S. Subsidiary effective as of September 1, 2019, as amended by the First Amendment to Employment Agreement between you, the Parent and the U.S. Subsidiary effective as of March 18, 2020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 you are not eligible for severance pay or benefits in connection with the ending of your employment under the Employment Agreement. Terms with initial capitalization not otherwise defined herein shall have the meanings ascribed to them in the Employment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Regardless of whether you enter into the Agreement, the following terms apply with respect to the ending of your employment:</w:t>
      </w:r>
    </w:p>
    <w:p>
      <w:pPr>
        <w:spacing w:after="0" w:line="241" w:lineRule="exact"/>
        <w:rPr>
          <w:sz w:val="20"/>
          <w:szCs w:val="20"/>
          <w:color w:val="auto"/>
        </w:rPr>
      </w:pPr>
    </w:p>
    <w:p>
      <w:pPr>
        <w:ind w:left="880" w:right="220" w:hanging="440"/>
        <w:spacing w:after="0" w:line="234" w:lineRule="auto"/>
        <w:tabs>
          <w:tab w:leader="none" w:pos="8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shall pay or provide to you (or to your authorized representative or estate) the following Accrued Obligations: (i) any Base Salary earned through the Date of Termination, unpaid expense reimbursements (subject to, and in accordance with, Section 2(c) of the Employment Agreement) and unused vacation that accrued through the Date of Termination on or before the time required by law but in no event more than 30 days after the Date of Termination; and (ii) any vested benefits you may have under any employee benefit plan of the Company through the Date of Termination, which vested benefits shall be paid and/or provided in accordance with the terms of such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left="880" w:right="40" w:hanging="440"/>
        <w:spacing w:after="0" w:line="248" w:lineRule="auto"/>
        <w:tabs>
          <w:tab w:leader="none" w:pos="8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Your eligibility to participate in the Company’s group health plans ceases on the last day of the month in which the Date of Termination occurs in accordance with the terms and conditions of those plans. You will have the right to continue group health care coverage in the Company’s group health plans after the termination of your employment under the law known as “COBRA,” which will be described in a separate written notice. Your eligibility to participate in the Company’s other employee benefit plans and programs ceases on the Date of Termination in accordance with the terms and conditions of each of those benefit plans and programs.</w:t>
      </w:r>
    </w:p>
    <w:p>
      <w:pPr>
        <w:spacing w:after="0" w:line="176" w:lineRule="exact"/>
        <w:rPr>
          <w:rFonts w:ascii="Arial" w:cs="Arial" w:eastAsia="Arial" w:hAnsi="Arial"/>
          <w:sz w:val="21"/>
          <w:szCs w:val="21"/>
          <w:color w:val="auto"/>
        </w:rPr>
      </w:pPr>
    </w:p>
    <w:p>
      <w:pPr>
        <w:ind w:left="880" w:right="20" w:hanging="440"/>
        <w:spacing w:after="0" w:line="273" w:lineRule="auto"/>
        <w:tabs>
          <w:tab w:leader="none" w:pos="8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You are subject to continuing obligations under your Employee Confidentiality, Assignment and Noncompetition Agreement dated September 1, 2019 (the “</w:t>
      </w: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xml:space="preserve">”) attached as Exhibit 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accordance with Section 8(c) and Section 18 of the Restrictive Covenants Agreement,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shall waive the noncompetition provision in Section 8(c) of the Restrictive Covenants Agreement, effective on the Date of Termination, if the Agreement below becomes effective. Because of this waiver, you will not be eligible for the Garden Leave Pay specified in the Restrictive Covenants Agreement. You are required to continue to comply with all other obligations set forth in the Restrictive Covenants Agreement, including, without limitation, your obligation not to use or disclose the Company’s Proprietary Information and, during the Restricted Period, not to engage in the solicitation of customers, vendors, employees or consultants, as set forth in Sections 8(a) and 8(b) of the Restrictive Covenants Agreement (as such capitalized terms are defined therein). Except with respect to Section 8(c), as described above, the Restrictive Covenants Agreement remains in full force and effect.</w:t>
      </w:r>
    </w:p>
    <w:p>
      <w:pPr>
        <w:spacing w:after="0" w:line="155"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remainder of this letter proposes the Agreement between you and the Company. You acknowledge that you are entering into the Agreement knowingly and voluntarily. With those understandings, you and the Company agree as follows:</w:t>
      </w:r>
    </w:p>
    <w:p>
      <w:pPr>
        <w:spacing w:after="0" w:line="99" w:lineRule="exact"/>
        <w:rPr>
          <w:sz w:val="20"/>
          <w:szCs w:val="20"/>
          <w:color w:val="auto"/>
        </w:rPr>
      </w:pPr>
    </w:p>
    <w:p>
      <w:pPr>
        <w:ind w:left="820" w:hanging="812"/>
        <w:spacing w:after="0"/>
        <w:tabs>
          <w:tab w:leader="none" w:pos="8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w:t>
      </w:r>
    </w:p>
    <w:p>
      <w:pPr>
        <w:spacing w:after="0" w:line="21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To receive the benefits set forth in this Agreement, you must satisfy each of the following “</w:t>
      </w:r>
      <w:r>
        <w:rPr>
          <w:rFonts w:ascii="Arial" w:cs="Arial" w:eastAsia="Arial" w:hAnsi="Arial"/>
          <w:sz w:val="22"/>
          <w:szCs w:val="22"/>
          <w:u w:val="single" w:color="auto"/>
          <w:color w:val="auto"/>
        </w:rPr>
        <w:t>Conditions</w:t>
      </w:r>
      <w:r>
        <w:rPr>
          <w:rFonts w:ascii="Arial" w:cs="Arial" w:eastAsia="Arial" w:hAnsi="Arial"/>
          <w:sz w:val="22"/>
          <w:szCs w:val="22"/>
          <w:color w:val="auto"/>
        </w:rPr>
        <w:t>”: (i) enter into, not revoke and comply with this Agreement; (ii) not be terminated by the Company for Cause or resign without the Chief Executive Officer’s written approval prior to April 1, 2022; (iii) work cooperatively to the reasonable satisfaction of the Chief Executive Officer during the Transition Period; and (iv) for purposes of the Health Benefits, the 2022 Prorated Bonus and the Extended Exercise Period (as such capitalized terms are defined below), enter into the certificate attached hereto as Exhibit B, which updates the release of claims set forth in Section 7 of this Agreement (the “</w:t>
      </w:r>
      <w:r>
        <w:rPr>
          <w:rFonts w:ascii="Arial" w:cs="Arial" w:eastAsia="Arial" w:hAnsi="Arial"/>
          <w:sz w:val="22"/>
          <w:szCs w:val="22"/>
          <w:u w:val="single" w:color="auto"/>
          <w:color w:val="auto"/>
        </w:rPr>
        <w:t>Certificate</w:t>
      </w:r>
      <w:r>
        <w:rPr>
          <w:rFonts w:ascii="Arial" w:cs="Arial" w:eastAsia="Arial" w:hAnsi="Arial"/>
          <w:sz w:val="22"/>
          <w:szCs w:val="22"/>
          <w:color w:val="auto"/>
        </w:rPr>
        <w:t>”), within the timeframe set forth therein. The Company agrees that if for any reason it believes you are not meeting your obligations under Section (iii) herein it will notify you in writing detailing the reasons you are not complying with this obligation and provide you with a reasonable time to cure.</w:t>
      </w:r>
    </w:p>
    <w:p>
      <w:pPr>
        <w:spacing w:after="0" w:line="214"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Period</w:t>
      </w:r>
    </w:p>
    <w:p>
      <w:pPr>
        <w:spacing w:after="0" w:line="212" w:lineRule="exact"/>
        <w:rPr>
          <w:sz w:val="20"/>
          <w:szCs w:val="20"/>
          <w:color w:val="auto"/>
        </w:rPr>
      </w:pPr>
    </w:p>
    <w:p>
      <w:pPr>
        <w:ind w:right="420" w:firstLine="8"/>
        <w:spacing w:after="0" w:line="250" w:lineRule="auto"/>
        <w:tabs>
          <w:tab w:leader="none" w:pos="88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you satisfy the Conditions, your employment with the Company will continue, along with the compensation and benefits specified below, until April 1, 2022, unless you are sooner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9" w:name="page110"/>
    <w:bookmarkEnd w:id="109"/>
    <w:p>
      <w:pPr>
        <w:spacing w:after="0" w:line="246" w:lineRule="auto"/>
        <w:rPr>
          <w:sz w:val="20"/>
          <w:szCs w:val="20"/>
          <w:color w:val="auto"/>
        </w:rPr>
      </w:pPr>
      <w:r>
        <w:rPr>
          <w:rFonts w:ascii="Arial" w:cs="Arial" w:eastAsia="Arial" w:hAnsi="Arial"/>
          <w:sz w:val="21"/>
          <w:szCs w:val="21"/>
          <w:color w:val="auto"/>
        </w:rPr>
        <w:t>terminated by the Company for Cause, you resign or you and the Company agree in writing to extend your employment. During the Transition Period, you will continue to serve as the President and Chief Operating Officer and provide services for the Company on a full-time basis, unless otherwise requested by the Chief Executive Officer. The Company anticipates that you will focus on transitional duties and working with the Company to hire a new Chief Financial Officer during the Transition Period, although you may be required to perform other reasonable duties as requested by the Company. For the avoidance of doubt, Good Reason shall not apply during the Transition Period, and you hereby waive any right to terminate your employment for Good Reason during the Transition Period.</w:t>
      </w:r>
    </w:p>
    <w:p>
      <w:pPr>
        <w:spacing w:after="0" w:line="184" w:lineRule="exact"/>
        <w:rPr>
          <w:sz w:val="20"/>
          <w:szCs w:val="20"/>
          <w:color w:val="auto"/>
        </w:rPr>
      </w:pPr>
    </w:p>
    <w:p>
      <w:pPr>
        <w:ind w:right="60" w:firstLine="8"/>
        <w:spacing w:after="0" w:line="277" w:lineRule="auto"/>
        <w:tabs>
          <w:tab w:leader="none" w:pos="9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During the Transition Period, you will (i) continue to be paid your Base Salary, (ii) remain eligible to participate in the Company’s group employee benefit plans and (iii) continue to vest in the stock options and any other stock-based equity awards granted to you by the Company (collectively, the “</w:t>
      </w:r>
      <w:r>
        <w:rPr>
          <w:rFonts w:ascii="Arial" w:cs="Arial" w:eastAsia="Arial" w:hAnsi="Arial"/>
          <w:sz w:val="19"/>
          <w:szCs w:val="19"/>
          <w:u w:val="single" w:color="auto"/>
          <w:color w:val="auto"/>
        </w:rPr>
        <w:t>Equity Awards</w:t>
      </w:r>
      <w:r>
        <w:rPr>
          <w:rFonts w:ascii="Arial" w:cs="Arial" w:eastAsia="Arial" w:hAnsi="Arial"/>
          <w:sz w:val="19"/>
          <w:szCs w:val="19"/>
          <w:color w:val="auto"/>
        </w:rPr>
        <w:t>”), consistent with the applicable equity incentive plan(s) and the applicable equity award agreement(s) governing the terms of such equity awards (collectively, the “</w:t>
      </w:r>
      <w:r>
        <w:rPr>
          <w:rFonts w:ascii="Arial" w:cs="Arial" w:eastAsia="Arial" w:hAnsi="Arial"/>
          <w:sz w:val="19"/>
          <w:szCs w:val="19"/>
          <w:u w:val="single" w:color="auto"/>
          <w:color w:val="auto"/>
        </w:rPr>
        <w:t>Equity Documents</w:t>
      </w:r>
      <w:r>
        <w:rPr>
          <w:rFonts w:ascii="Arial" w:cs="Arial" w:eastAsia="Arial" w:hAnsi="Arial"/>
          <w:sz w:val="19"/>
          <w:szCs w:val="19"/>
          <w:color w:val="auto"/>
        </w:rPr>
        <w:t>”). Provided that you comply with this Agreement, you will receive your 2021 bonus (the “</w:t>
      </w:r>
      <w:r>
        <w:rPr>
          <w:rFonts w:ascii="Arial" w:cs="Arial" w:eastAsia="Arial" w:hAnsi="Arial"/>
          <w:sz w:val="19"/>
          <w:szCs w:val="19"/>
          <w:u w:val="single" w:color="auto"/>
          <w:color w:val="auto"/>
        </w:rPr>
        <w:t>2021 Bonus</w:t>
      </w:r>
      <w:r>
        <w:rPr>
          <w:rFonts w:ascii="Arial" w:cs="Arial" w:eastAsia="Arial" w:hAnsi="Arial"/>
          <w:sz w:val="19"/>
          <w:szCs w:val="19"/>
          <w:color w:val="auto"/>
        </w:rPr>
        <w:t>”), which shall be the greater of (i) the Target Bonus or (ii) the bonus based on corporate performance. The 2021 Bonus will be paid to you at the time that the Company pays its executives their annual incentive compensation for 2021, which will be no later than March 15, 2022.</w:t>
      </w:r>
    </w:p>
    <w:p>
      <w:pPr>
        <w:spacing w:after="0" w:line="151" w:lineRule="exact"/>
        <w:rPr>
          <w:rFonts w:ascii="Arial" w:cs="Arial" w:eastAsia="Arial" w:hAnsi="Arial"/>
          <w:sz w:val="19"/>
          <w:szCs w:val="19"/>
          <w:color w:val="auto"/>
        </w:rPr>
      </w:pPr>
    </w:p>
    <w:p>
      <w:pPr>
        <w:ind w:right="140" w:firstLine="8"/>
        <w:spacing w:after="0" w:line="238" w:lineRule="auto"/>
        <w:tabs>
          <w:tab w:leader="none" w:pos="88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Company terminates your employment for Cause, or if you fail to satisfy any of the Conditions, your employment will end immediately and you will cease vesting as of the Date of Termination, you shall be entitled to the Accrued Obligations and you shall have no right to the Health Benefits, the 2022 Prorated Bonus, the Extended Exercise Period or any other post-employment compensation or benefits from the Company.</w:t>
      </w:r>
    </w:p>
    <w:p>
      <w:pPr>
        <w:spacing w:after="0" w:line="179" w:lineRule="exact"/>
        <w:rPr>
          <w:sz w:val="20"/>
          <w:szCs w:val="20"/>
          <w:color w:val="auto"/>
        </w:rPr>
      </w:pPr>
    </w:p>
    <w:p>
      <w:pPr>
        <w:ind w:left="820" w:hanging="812"/>
        <w:spacing w:after="0"/>
        <w:tabs>
          <w:tab w:leader="none" w:pos="8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Ending of Employment</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Your employment with the Company will end on the Date of Termination. You and the Company acknowledge and agree that all notice obligations under Section 4(a) of the Employment Agreement have been satisfied. To the extent applicable, you shall be deemed to have resigned from all officer and board member positions that you hold with the U.S. Subsidiary, the Parent or any of their respective subsidiaries or affiliates upon the Date of Termination (or sooner, if requested by the Chief Executive Officer), and you agree to execute any documents reasonably requested by the Company in order to effectuate such resignations. As of the Date of Termination, you shall have no further employment or service relationship with the U.S. Subsidiary, the Parent or any of their respective subsidiaries or affiliates.</w:t>
      </w:r>
    </w:p>
    <w:p>
      <w:pPr>
        <w:spacing w:after="0" w:line="178" w:lineRule="exact"/>
        <w:rPr>
          <w:sz w:val="20"/>
          <w:szCs w:val="20"/>
          <w:color w:val="auto"/>
        </w:rPr>
      </w:pPr>
    </w:p>
    <w:p>
      <w:pPr>
        <w:ind w:left="820" w:hanging="812"/>
        <w:spacing w:after="0"/>
        <w:tabs>
          <w:tab w:leader="none" w:pos="8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Health Benefits</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If you satisfy the Conditions, including, without limitation, signing the Certificate, and timely elect and are eligible for COBRA health continuation, then the Company shall pay the monthly employer COBRA premium for the same level of group health coverage as in effect for you and your family on the Date of Termination until the earliest of the following: (i) the six (6) month anniversary of the Date of Termination, (ii) your eligibility for group health coverage through other employment or (iii) the end of your eligibility under COBRA for continuation coverage for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0" w:name="page111"/>
    <w:bookmarkEnd w:id="110"/>
    <w:p>
      <w:pPr>
        <w:ind w:right="60"/>
        <w:spacing w:after="0" w:line="279" w:lineRule="auto"/>
        <w:rPr>
          <w:sz w:val="20"/>
          <w:szCs w:val="20"/>
          <w:color w:val="auto"/>
        </w:rPr>
      </w:pPr>
      <w:r>
        <w:rPr>
          <w:rFonts w:ascii="Arial" w:cs="Arial" w:eastAsia="Arial" w:hAnsi="Arial"/>
          <w:sz w:val="19"/>
          <w:szCs w:val="19"/>
          <w:color w:val="auto"/>
        </w:rPr>
        <w:t>health care (the “</w:t>
      </w:r>
      <w:r>
        <w:rPr>
          <w:rFonts w:ascii="Arial" w:cs="Arial" w:eastAsia="Arial" w:hAnsi="Arial"/>
          <w:sz w:val="19"/>
          <w:szCs w:val="19"/>
          <w:u w:val="single" w:color="auto"/>
          <w:color w:val="auto"/>
        </w:rPr>
        <w:t>Health Benefits</w:t>
      </w:r>
      <w:r>
        <w:rPr>
          <w:rFonts w:ascii="Arial" w:cs="Arial" w:eastAsia="Arial" w:hAnsi="Arial"/>
          <w:sz w:val="19"/>
          <w:szCs w:val="19"/>
          <w:color w:val="auto"/>
        </w:rPr>
        <w:t>”). You will be responsible for paying the remaining portion of the premiums for such coverage as if you remained employed. You agree to notify the Company promptly if you become eligible for group health care coverage through another employer. You also agree to respond promptly and fully to any reasonable requests for information by the Company concerning your eligibility for such coverage. If applicable, you may continue coverage after the six (6) month anniversary of the Date of Termination entirely at your own expense for the remainder of the COBRA continuation period, subject to continued eligibility. The Company will also pay any administrative fee needed if permitted by applicable law.</w:t>
      </w:r>
    </w:p>
    <w:p>
      <w:pPr>
        <w:spacing w:after="0" w:line="171"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2022 Prorated Bonus</w:t>
      </w:r>
    </w:p>
    <w:p>
      <w:pPr>
        <w:spacing w:after="0" w:line="212"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If you satisfy the Conditions, including, without limitation, signing the Certificate, then the Company will pay you a prorated bonus for calendar year 2022 based on the later of (i) the Date of Termination and (ii) March 31, 2022 (the “</w:t>
      </w:r>
      <w:r>
        <w:rPr>
          <w:rFonts w:ascii="Arial" w:cs="Arial" w:eastAsia="Arial" w:hAnsi="Arial"/>
          <w:sz w:val="22"/>
          <w:szCs w:val="22"/>
          <w:u w:val="single" w:color="auto"/>
          <w:color w:val="auto"/>
        </w:rPr>
        <w:t>2022 Prorated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Bonus</w:t>
      </w:r>
      <w:r>
        <w:rPr>
          <w:rFonts w:ascii="Arial" w:cs="Arial" w:eastAsia="Arial" w:hAnsi="Arial"/>
          <w:sz w:val="22"/>
          <w:szCs w:val="22"/>
          <w:color w:val="auto"/>
        </w:rPr>
        <w:t>”), to be paid on the first practicable payroll date following the Effective Date of the Certificate (as defined in the Certificate).</w:t>
      </w:r>
    </w:p>
    <w:p>
      <w:pPr>
        <w:spacing w:after="0" w:line="206" w:lineRule="exact"/>
        <w:rPr>
          <w:sz w:val="20"/>
          <w:szCs w:val="20"/>
          <w:color w:val="auto"/>
        </w:rPr>
      </w:pPr>
    </w:p>
    <w:p>
      <w:pPr>
        <w:ind w:left="820" w:hanging="812"/>
        <w:spacing w:after="0"/>
        <w:tabs>
          <w:tab w:leader="none" w:pos="8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Extended Exercise Period</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If you satisfy the Conditions, including, without limitation, signing the Certificate, then subject to the approval of the Board of Directors of the Parent (or the Compensation Committee thereof) which will occur no later than November 15, 2021 and notwithstanding anything to the contrary in Equity Documents, the Company shall extend the exercise period with respect to the vested shares of your stock options as of the Date of Termination until the earlier of (A) the one year anniversary of the Date of Termination or (B) the expiration date of the applicable stock option (the “</w:t>
      </w:r>
      <w:r>
        <w:rPr>
          <w:rFonts w:ascii="Arial" w:cs="Arial" w:eastAsia="Arial" w:hAnsi="Arial"/>
          <w:sz w:val="21"/>
          <w:szCs w:val="21"/>
          <w:u w:val="single" w:color="auto"/>
          <w:color w:val="auto"/>
        </w:rPr>
        <w:t>Extended Exercise Period</w:t>
      </w:r>
      <w:r>
        <w:rPr>
          <w:rFonts w:ascii="Arial" w:cs="Arial" w:eastAsia="Arial" w:hAnsi="Arial"/>
          <w:sz w:val="21"/>
          <w:szCs w:val="21"/>
          <w:color w:val="auto"/>
        </w:rPr>
        <w:t>”). You are advised to consult with your tax advisor regarding the tax impact of the Extended Exercise Period. Except as set forth herein, the terms of the Equity Documents shall continue in full force in all respects.</w:t>
      </w:r>
    </w:p>
    <w:p>
      <w:pPr>
        <w:spacing w:after="0" w:line="205" w:lineRule="exact"/>
        <w:rPr>
          <w:sz w:val="20"/>
          <w:szCs w:val="20"/>
          <w:color w:val="auto"/>
        </w:rPr>
      </w:pPr>
    </w:p>
    <w:p>
      <w:pPr>
        <w:ind w:left="820" w:hanging="812"/>
        <w:spacing w:after="0"/>
        <w:tabs>
          <w:tab w:leader="none" w:pos="8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Claims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In consideration for, among other terms, the opportunity to continue your employment during the Transition Period and receive the associated compensation, benefits and equity vesting during such time, the Health Benefits, the 2022 Prorated Bonus and the Extended Exercise Period, to which you acknowledge you would otherwise not be entitled, you voluntarily release and forever discharge the U.S. Subsidiary, the Parent, all of the U.S. Subsidiary’s and the Parent’s respective affiliated and related entities, each of the foregoing’s respective predecessors, successors and assigns,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w:t>
      </w:r>
      <w:r>
        <w:rPr>
          <w:rFonts w:ascii="Arial" w:cs="Arial" w:eastAsia="Arial" w:hAnsi="Arial"/>
          <w:sz w:val="19"/>
          <w:szCs w:val="19"/>
          <w:u w:val="single" w:color="auto"/>
          <w:color w:val="auto"/>
        </w:rPr>
        <w:t>Claims</w:t>
      </w:r>
      <w:r>
        <w:rPr>
          <w:rFonts w:ascii="Arial" w:cs="Arial" w:eastAsia="Arial" w:hAnsi="Arial"/>
          <w:sz w:val="19"/>
          <w:szCs w:val="19"/>
          <w:color w:val="auto"/>
        </w:rPr>
        <w:t>”) that, as of the date when you sign this Agreement, you have, ever had, now claim to have or ever claimed to have had against any or all of the Releasees. This release includes, without limitation, all Claims:</w:t>
      </w:r>
    </w:p>
    <w:p>
      <w:pPr>
        <w:spacing w:after="0" w:line="161"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relating to your employment by and termination of employment with the Company;</w:t>
      </w:r>
    </w:p>
    <w:p>
      <w:pPr>
        <w:spacing w:after="0" w:line="8" w:lineRule="exact"/>
        <w:rPr>
          <w:rFonts w:ascii="Arial" w:cs="Arial" w:eastAsia="Arial" w:hAnsi="Arial"/>
          <w:sz w:val="22"/>
          <w:szCs w:val="22"/>
          <w:color w:val="auto"/>
        </w:rPr>
      </w:pPr>
    </w:p>
    <w:p>
      <w:pPr>
        <w:ind w:left="440" w:hanging="432"/>
        <w:spacing w:after="0"/>
        <w:tabs>
          <w:tab w:leader="none" w:pos="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of wrongful discharge or violation of public policy;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1" w:name="page112"/>
    <w:bookmarkEnd w:id="111"/>
    <w:p>
      <w:pPr>
        <w:ind w:left="440" w:hanging="432"/>
        <w:spacing w:after="0"/>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of breach of contract;</w:t>
      </w:r>
    </w:p>
    <w:p>
      <w:pPr>
        <w:spacing w:after="0" w:line="8"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of defamation or other torts;</w:t>
      </w:r>
    </w:p>
    <w:p>
      <w:pPr>
        <w:ind w:left="440" w:right="120" w:hanging="432"/>
        <w:spacing w:after="0" w:line="230" w:lineRule="auto"/>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of retaliation or discrimination under federal, state or local law (including, without limitation, Claims of discrimination or retaliation under the Americans with Disabilities Act, the Age Discrimination in Employment Act, Title VII of the Civil Rights Act of 1964 and the Massachusetts Fair Employment Practices Act);</w:t>
      </w:r>
    </w:p>
    <w:p>
      <w:pPr>
        <w:spacing w:after="0" w:line="1" w:lineRule="exact"/>
        <w:rPr>
          <w:rFonts w:ascii="Arial" w:cs="Arial" w:eastAsia="Arial" w:hAnsi="Arial"/>
          <w:sz w:val="22"/>
          <w:szCs w:val="22"/>
          <w:color w:val="auto"/>
        </w:rPr>
      </w:pPr>
    </w:p>
    <w:p>
      <w:pPr>
        <w:ind w:left="440" w:right="60" w:hanging="432"/>
        <w:spacing w:after="0" w:line="230" w:lineRule="auto"/>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under any other federal or state statute (including, without limitation, Claims under the Worker Adjustment and Retraining Notification Act or the Fair Labor Standards Act);</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under English law;</w:t>
      </w:r>
    </w:p>
    <w:p>
      <w:pPr>
        <w:ind w:left="440" w:hanging="432"/>
        <w:spacing w:after="0" w:line="266" w:lineRule="auto"/>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 wages, bonuses, incentive compensation, commissions, stock, stock options, vacation pay or any other compensation or benefits, either under the Massachusetts Wage Act, M.G.L. c. 149, §§148-150C, or otherwise; and</w:t>
      </w:r>
    </w:p>
    <w:p>
      <w:pPr>
        <w:spacing w:after="0" w:line="1" w:lineRule="exact"/>
        <w:rPr>
          <w:rFonts w:ascii="Arial" w:cs="Arial" w:eastAsia="Arial" w:hAnsi="Arial"/>
          <w:sz w:val="19"/>
          <w:szCs w:val="19"/>
          <w:color w:val="auto"/>
        </w:rPr>
      </w:pPr>
    </w:p>
    <w:p>
      <w:pPr>
        <w:ind w:left="440" w:right="640" w:hanging="432"/>
        <w:spacing w:after="0" w:line="236" w:lineRule="auto"/>
        <w:tabs>
          <w:tab w:leader="none" w:pos="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for damages or other remedies of any sort, including, without limitation, compensatory damages, punitive damages, injunctive relief and attorney’s fees;</w:t>
      </w:r>
    </w:p>
    <w:p>
      <w:pPr>
        <w:spacing w:after="0" w:line="214"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this release shall not apply to Claims that cannot be released as a matter of law nor shall it affect your rights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this Agreement, your rights, if any, to vested accrued benefits pursuant to the Company’s employee benefits plan(s), your rights to indemnification by the Company pursuant to the Company’s organizational documents or any indemnification agreement between you and the Company, or coverage, if any, under applicable directors’ and officers’ insurance policies.</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 You represent that as of the Company’s most recent payroll payment of salary or wages to you, you were fully paid for all salary or wages then due to you, and that except as explicitly set forth in this Agreement, you are not entitled to any further compensation from the Company.</w:t>
      </w:r>
    </w:p>
    <w:p>
      <w:pPr>
        <w:spacing w:after="0" w:line="141" w:lineRule="exact"/>
        <w:rPr>
          <w:sz w:val="20"/>
          <w:szCs w:val="20"/>
          <w:color w:val="auto"/>
        </w:rPr>
      </w:pPr>
    </w:p>
    <w:p>
      <w:pPr>
        <w:ind w:left="820" w:hanging="812"/>
        <w:spacing w:after="0"/>
        <w:tabs>
          <w:tab w:leader="none" w:pos="8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Continuing Obligations</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 xml:space="preserve">You hereby reaffirm your obligations under the Restrictive Covenants Agreement, including without limitation not to disclose Proprietary Information, not to solicit the Company’s customers, vendors, employees or consultants and to return Company property, the terms of which are incorporated by reference as material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and notwithstanding the foregoing, if this Agreement becomes effective, the noncompetition obligation in Section 8(c) of the Restrictive Covenants Agreement is hereby waived by the Company, effective as of the Date of Termination. Your continuing obligations to the Company pursuant to the Restrictive Covenants Agreement, Section 8 of the Employment Agreement and Sections 9 through 11 of this Agreement are collectively referred to as the “</w:t>
      </w:r>
      <w:r>
        <w:rPr>
          <w:rFonts w:ascii="Arial" w:cs="Arial" w:eastAsia="Arial" w:hAnsi="Arial"/>
          <w:sz w:val="19"/>
          <w:szCs w:val="19"/>
          <w:u w:val="single" w:color="auto"/>
          <w:color w:val="auto"/>
        </w:rPr>
        <w:t>Continuing Obligations</w:t>
      </w:r>
      <w:r>
        <w:rPr>
          <w:rFonts w:ascii="Arial" w:cs="Arial" w:eastAsia="Arial" w:hAnsi="Arial"/>
          <w:sz w:val="19"/>
          <w:szCs w:val="19"/>
          <w:color w:val="auto"/>
        </w:rPr>
        <w:t>.”</w:t>
      </w:r>
    </w:p>
    <w:p>
      <w:pPr>
        <w:spacing w:after="0" w:line="173" w:lineRule="exact"/>
        <w:rPr>
          <w:sz w:val="20"/>
          <w:szCs w:val="20"/>
          <w:color w:val="auto"/>
        </w:rPr>
      </w:pPr>
    </w:p>
    <w:p>
      <w:pPr>
        <w:ind w:left="820" w:hanging="812"/>
        <w:spacing w:after="0"/>
        <w:tabs>
          <w:tab w:leader="none" w:pos="82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Property</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You acknowledge and agree that you are required to return all Proprietary Information to the Company upon the ending of your employment pursuant to the Restrictive Covenants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361" w:right="499" w:bottom="1440" w:gutter="0" w:footer="0" w:header="0"/>
        </w:sectPr>
      </w:pPr>
    </w:p>
    <w:bookmarkStart w:id="112" w:name="page113"/>
    <w:bookmarkEnd w:id="112"/>
    <w:p>
      <w:pPr>
        <w:spacing w:after="0" w:line="273" w:lineRule="auto"/>
        <w:rPr>
          <w:sz w:val="20"/>
          <w:szCs w:val="20"/>
          <w:color w:val="auto"/>
        </w:rPr>
      </w:pPr>
      <w:r>
        <w:rPr>
          <w:rFonts w:ascii="Arial" w:cs="Arial" w:eastAsia="Arial" w:hAnsi="Arial"/>
          <w:sz w:val="19"/>
          <w:szCs w:val="19"/>
          <w:color w:val="auto"/>
        </w:rPr>
        <w:t>Agreement. By signing below, you agree that no later than the Date of Termination (or earlier, if requested by the Company), you will return to the Company, without altering, deleting or purging any files or documents that may contain Company information, all “</w:t>
      </w:r>
      <w:r>
        <w:rPr>
          <w:rFonts w:ascii="Arial" w:cs="Arial" w:eastAsia="Arial" w:hAnsi="Arial"/>
          <w:sz w:val="19"/>
          <w:szCs w:val="19"/>
          <w:u w:val="single" w:color="auto"/>
          <w:color w:val="auto"/>
        </w:rPr>
        <w:t>Company Property</w:t>
      </w:r>
      <w:r>
        <w:rPr>
          <w:rFonts w:ascii="Arial" w:cs="Arial" w:eastAsia="Arial" w:hAnsi="Arial"/>
          <w:sz w:val="19"/>
          <w:szCs w:val="19"/>
          <w:color w:val="auto"/>
        </w:rPr>
        <w:t>,” which shall include, without limitation, computer equipment, Company laptop, software, keys and access cards, credit cards, files and any documents (including computerized data and any copies made of any computerized data or software) containing information concerning the Company, its business or its business relationships (in the latter two cases, actual or prospective). After returning all such Company Property to the Company, you must take all reasonable steps to delete and empty the trash and finally purge any duplicates of files or documents that may contain Company information from any non-Company computer or other device that remains your property after the Date of Termination. In the event that you discover that you continue to retain any such property, you must return it to the Company immediately. This Section 9 is in lieu of your obligations relating to returning property to the Company pursuant to the Restrictive Covenants Agreement, but does not affect any other obligations in the Restrictive Covenants Agreement or otherwise.</w:t>
      </w:r>
    </w:p>
    <w:p>
      <w:pPr>
        <w:spacing w:after="0" w:line="176" w:lineRule="exact"/>
        <w:rPr>
          <w:sz w:val="20"/>
          <w:szCs w:val="20"/>
          <w:color w:val="auto"/>
        </w:rPr>
      </w:pPr>
    </w:p>
    <w:p>
      <w:pPr>
        <w:ind w:left="920" w:hanging="912"/>
        <w:spacing w:after="0"/>
        <w:tabs>
          <w:tab w:leader="none" w:pos="92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 Agreement</w:t>
      </w: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 xml:space="preserve">In order to protect the Company’s Proprietary Information and goodwill, and in connection with your separation from employment with the Company, you agree that for a period of one year following the Date of Termination, you shall not, directly or indirectly, whether as owner, partner, shareholder, director, manager, consultant, agent, employee, co-venturer or otherwise, anywhere in the world, engage or otherwise participate in any business that is, in whole or in part, engaged in or actively planning to become engaged in researching, developing or manufacturing </w:t>
      </w:r>
      <w:r>
        <w:rPr>
          <w:rFonts w:ascii="Arial" w:cs="Arial" w:eastAsia="Arial" w:hAnsi="Arial"/>
          <w:sz w:val="19"/>
          <w:szCs w:val="19"/>
          <w:i w:val="1"/>
          <w:iCs w:val="1"/>
          <w:color w:val="auto"/>
        </w:rPr>
        <w:t>ex vivo</w:t>
      </w:r>
      <w:r>
        <w:rPr>
          <w:rFonts w:ascii="Arial" w:cs="Arial" w:eastAsia="Arial" w:hAnsi="Arial"/>
          <w:sz w:val="19"/>
          <w:szCs w:val="19"/>
          <w:color w:val="auto"/>
        </w:rPr>
        <w:t xml:space="preserve"> autologous gene therapies. You acknowledge that this covenant is necessary because the Company’s legitimate business interests cannot be adequately protected solely by the other covenants in this Agreement. You acknowledge and agree that this Section 10 applies in lieu of Section 8(c) of the Restrictive Covenants Agreement, which the Company has waived as of the Date of Termination pursuant to Section 8 above, and that you are not entitled to any Garden Leave Pay under the Restrictive Covenants Agreement. For the avoidance of doubt, the remainder of the Restrictive Covenants Agreement remains in full force and effect and is incorporated by reference herein.</w:t>
      </w:r>
    </w:p>
    <w:p>
      <w:pPr>
        <w:spacing w:after="0" w:line="182" w:lineRule="exact"/>
        <w:rPr>
          <w:sz w:val="20"/>
          <w:szCs w:val="20"/>
          <w:color w:val="auto"/>
        </w:rPr>
      </w:pPr>
    </w:p>
    <w:p>
      <w:pPr>
        <w:ind w:left="920" w:hanging="912"/>
        <w:spacing w:after="0"/>
        <w:tabs>
          <w:tab w:leader="none" w:pos="92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Non-Disparagement</w:t>
      </w:r>
    </w:p>
    <w:p>
      <w:pPr>
        <w:spacing w:after="0" w:line="212" w:lineRule="exact"/>
        <w:rPr>
          <w:sz w:val="20"/>
          <w:szCs w:val="20"/>
          <w:color w:val="auto"/>
        </w:rPr>
      </w:pPr>
    </w:p>
    <w:p>
      <w:pPr>
        <w:ind w:right="300" w:firstLine="8"/>
        <w:spacing w:after="0" w:line="249" w:lineRule="auto"/>
        <w:tabs>
          <w:tab w:leader="none" w:pos="888" w:val="left"/>
        </w:tabs>
        <w:numPr>
          <w:ilvl w:val="0"/>
          <w:numId w:val="76"/>
        </w:numPr>
        <w:rPr>
          <w:rFonts w:ascii="Arial" w:cs="Arial" w:eastAsia="Arial" w:hAnsi="Arial"/>
          <w:sz w:val="21"/>
          <w:szCs w:val="21"/>
          <w:color w:val="auto"/>
        </w:rPr>
      </w:pPr>
      <w:r>
        <w:rPr>
          <w:rFonts w:ascii="Arial" w:cs="Arial" w:eastAsia="Arial" w:hAnsi="Arial"/>
          <w:sz w:val="21"/>
          <w:szCs w:val="21"/>
          <w:color w:val="auto"/>
        </w:rPr>
        <w:t>Subject to Section 12 of this Agreement, you agree not to take any action or make any statements (whether written, oral, through social or electronic media or otherwise) that are disparaging about or adverse to the business interests of the U.S. Subsidiary, the Parent, any of the U.S. Subsidiary’s or the Parent’s respective affiliates, or any of the foregoing’s therapies, products or current or former officers, directors, shareholders, employees, managers or agents. These non-disparagement obligations shall not apply to truthful testimony in any legal proceeding.</w:t>
      </w:r>
    </w:p>
    <w:p>
      <w:pPr>
        <w:spacing w:after="0" w:line="205" w:lineRule="exact"/>
        <w:rPr>
          <w:rFonts w:ascii="Arial" w:cs="Arial" w:eastAsia="Arial" w:hAnsi="Arial"/>
          <w:sz w:val="21"/>
          <w:szCs w:val="21"/>
          <w:color w:val="auto"/>
        </w:rPr>
      </w:pPr>
    </w:p>
    <w:p>
      <w:pPr>
        <w:ind w:right="480" w:firstLine="8"/>
        <w:spacing w:after="0" w:line="238" w:lineRule="auto"/>
        <w:tabs>
          <w:tab w:leader="none" w:pos="9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agrees to instruct current members of the Parent’s Board of Directors and the Executive Leadership Team not to take any action or make any statements (whether written, oral, through social or electronic media or otherwise) during their engagement or employment with the Company that are disparaging about or adverse to you. These non-disparagement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ind w:right="500"/>
        <w:spacing w:after="0" w:line="257" w:lineRule="auto"/>
        <w:rPr>
          <w:sz w:val="20"/>
          <w:szCs w:val="20"/>
          <w:color w:val="auto"/>
        </w:rPr>
      </w:pPr>
      <w:r>
        <w:rPr>
          <w:rFonts w:ascii="Arial" w:cs="Arial" w:eastAsia="Arial" w:hAnsi="Arial"/>
          <w:sz w:val="21"/>
          <w:szCs w:val="21"/>
          <w:color w:val="auto"/>
        </w:rPr>
        <w:t>obligations shall not in any way affect the obligation of the Company or any of its employees, officers or directors to testify truthfully in any legal proceeding, to communicate truthfully with its shareholders, employees and contractors about matters related to the Company or to cooperate in a government investigation.</w:t>
      </w:r>
    </w:p>
    <w:p>
      <w:pPr>
        <w:spacing w:after="0" w:line="190" w:lineRule="exact"/>
        <w:rPr>
          <w:sz w:val="20"/>
          <w:szCs w:val="20"/>
          <w:color w:val="auto"/>
        </w:rPr>
      </w:pPr>
    </w:p>
    <w:p>
      <w:pPr>
        <w:ind w:left="920" w:hanging="912"/>
        <w:spacing w:after="0"/>
        <w:tabs>
          <w:tab w:leader="none" w:pos="92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Protected Disclosures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Nothing in this Agreement or otherwise limits any person’s: (i) obligation to testify truthfully in any legal proceeding; (ii) right to file a charge or complaint with any federal agency (such as the Equal Employment Opportunity Commission) or any state or local governmental agency or commission (together, a “</w:t>
      </w:r>
      <w:r>
        <w:rPr>
          <w:rFonts w:ascii="Arial" w:cs="Arial" w:eastAsia="Arial" w:hAnsi="Arial"/>
          <w:sz w:val="19"/>
          <w:szCs w:val="19"/>
          <w:u w:val="single" w:color="auto"/>
          <w:color w:val="auto"/>
        </w:rPr>
        <w:t>Government Agency</w:t>
      </w:r>
      <w:r>
        <w:rPr>
          <w:rFonts w:ascii="Arial" w:cs="Arial" w:eastAsia="Arial" w:hAnsi="Arial"/>
          <w:sz w:val="19"/>
          <w:szCs w:val="19"/>
          <w:color w:val="auto"/>
        </w:rPr>
        <w:t xml:space="preserve">”); or (iii) ability to communicate with any Government Agency or otherwise participate in any investigation or proceeding that may be conducted by any Government Agency.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Agreement limits any right you may have to receive a whistleblower award or bounty for information provided to the Securities and Exchange Commission.</w:t>
      </w:r>
    </w:p>
    <w:p>
      <w:pPr>
        <w:spacing w:after="0" w:line="178" w:lineRule="exact"/>
        <w:rPr>
          <w:sz w:val="20"/>
          <w:szCs w:val="20"/>
          <w:color w:val="auto"/>
        </w:rPr>
      </w:pPr>
    </w:p>
    <w:p>
      <w:pPr>
        <w:ind w:left="920" w:hanging="912"/>
        <w:spacing w:after="0"/>
        <w:tabs>
          <w:tab w:leader="none" w:pos="9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Tax Treatment; Section 409A</w:t>
      </w:r>
    </w:p>
    <w:p>
      <w:pPr>
        <w:spacing w:after="0" w:line="212" w:lineRule="exact"/>
        <w:rPr>
          <w:sz w:val="20"/>
          <w:szCs w:val="20"/>
          <w:color w:val="auto"/>
        </w:rPr>
      </w:pPr>
    </w:p>
    <w:p>
      <w:pPr>
        <w:ind w:right="60" w:firstLine="8"/>
        <w:spacing w:after="0" w:line="248" w:lineRule="auto"/>
        <w:tabs>
          <w:tab w:leader="none" w:pos="888"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Nothing in this Agreement shall be construed to limit the Company’s ability to make deductions, withholdings and tax reports with respect to payments and benefits under this Agreement to the extent that it reasonably and in good faith believes that it is required to make such deductions, withholdings and tax reports. Payments under this Agreement shall be in amounts net of any such deductions or withholdings and nothing in this Agreement shall be construed to require the Company to make any payments to compensate you for any adverse tax effect associated with any payments or benefits or for any deduction or withholding from any payment or benefit.</w:t>
      </w:r>
    </w:p>
    <w:p>
      <w:pPr>
        <w:spacing w:after="0" w:line="203" w:lineRule="exact"/>
        <w:rPr>
          <w:rFonts w:ascii="Arial" w:cs="Arial" w:eastAsia="Arial" w:hAnsi="Arial"/>
          <w:sz w:val="21"/>
          <w:szCs w:val="21"/>
          <w:color w:val="auto"/>
        </w:rPr>
      </w:pPr>
    </w:p>
    <w:p>
      <w:pPr>
        <w:ind w:firstLine="872"/>
        <w:spacing w:after="0" w:line="245" w:lineRule="exact"/>
        <w:tabs>
          <w:tab w:leader="none" w:pos="1763"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your separation from service within the meaning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1(h). The parties intend that this Agreement will be administered in accordance with Section 409A of the Code. To the extent that any provision of this Agreement is ambiguous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ind w:right="140"/>
        <w:spacing w:after="0" w:line="249" w:lineRule="exact"/>
        <w:rPr>
          <w:sz w:val="20"/>
          <w:szCs w:val="20"/>
          <w:color w:val="auto"/>
        </w:rPr>
      </w:pPr>
      <w:r>
        <w:rPr>
          <w:rFonts w:ascii="Arial" w:cs="Arial" w:eastAsia="Arial" w:hAnsi="Arial"/>
          <w:sz w:val="19"/>
          <w:szCs w:val="19"/>
          <w:color w:val="auto"/>
        </w:rPr>
        <w:t>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82" w:lineRule="exact"/>
        <w:rPr>
          <w:sz w:val="20"/>
          <w:szCs w:val="20"/>
          <w:color w:val="auto"/>
        </w:rPr>
      </w:pPr>
    </w:p>
    <w:p>
      <w:pPr>
        <w:ind w:left="920" w:hanging="912"/>
        <w:spacing w:after="0"/>
        <w:tabs>
          <w:tab w:leader="none" w:pos="92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Other Provisions</w:t>
      </w:r>
    </w:p>
    <w:p>
      <w:pPr>
        <w:spacing w:after="0" w:line="212" w:lineRule="exact"/>
        <w:rPr>
          <w:sz w:val="20"/>
          <w:szCs w:val="20"/>
          <w:color w:val="auto"/>
        </w:rPr>
      </w:pPr>
    </w:p>
    <w:p>
      <w:pPr>
        <w:ind w:left="900" w:hanging="892"/>
        <w:spacing w:after="0"/>
        <w:tabs>
          <w:tab w:leader="none" w:pos="9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Relief</w:t>
      </w:r>
      <w:r>
        <w:rPr>
          <w:rFonts w:ascii="Arial" w:cs="Arial" w:eastAsia="Arial" w:hAnsi="Arial"/>
          <w:sz w:val="22"/>
          <w:szCs w:val="22"/>
          <w:color w:val="auto"/>
        </w:rPr>
        <w:t>. In the event that you fail to comply with any of your obligations under this Agreement (including the</w:t>
      </w:r>
    </w:p>
    <w:p>
      <w:pPr>
        <w:spacing w:after="0" w:line="8" w:lineRule="exact"/>
        <w:rPr>
          <w:rFonts w:ascii="Arial" w:cs="Arial" w:eastAsia="Arial" w:hAnsi="Arial"/>
          <w:sz w:val="22"/>
          <w:szCs w:val="22"/>
          <w:color w:val="auto"/>
        </w:rPr>
      </w:pPr>
    </w:p>
    <w:p>
      <w:pPr>
        <w:spacing w:after="0" w:line="271" w:lineRule="auto"/>
        <w:rPr>
          <w:rFonts w:ascii="Arial" w:cs="Arial" w:eastAsia="Arial" w:hAnsi="Arial"/>
          <w:sz w:val="22"/>
          <w:szCs w:val="22"/>
          <w:color w:val="auto"/>
        </w:rPr>
      </w:pPr>
      <w:r>
        <w:rPr>
          <w:rFonts w:ascii="Arial" w:cs="Arial" w:eastAsia="Arial" w:hAnsi="Arial"/>
          <w:sz w:val="19"/>
          <w:szCs w:val="19"/>
          <w:color w:val="auto"/>
        </w:rPr>
        <w:t>Continuing Obligations), then in addition to any other legal or equitable remedies it may have for such breach, the Company shall have the right to terminate your employment (if you are still employed) and, to the extent applicable, terminate the Health Benefits, the 2022 Prorated Bonus and any other benefits provided under this Agreement other than the Accrued Obligations, and, if applicable, seek repayment of such benefits. Any such consequences of a breach by you of your obligations under this Agreement will not affect the release in Section 7 or your continuing obligations under this Agreement. Further, you agree that it would be difficult to measure any harm caused to the Company that might result from any breach by you of any of the Continuing Obligations and that, in any event, money damages would be an inadequate remedy for any such breach. Accordingly, you agree that if you breach, the Company shall be entitled, in addition to all other remedies it may have, to specific performance and other injunctive relief, without the posting of a bond, and that you will be obligated to pay the Company’s costs of enforcement of the Continuing Obligations, including reasonable attorneys’ fees and expenses.</w:t>
      </w:r>
    </w:p>
    <w:p>
      <w:pPr>
        <w:spacing w:after="0" w:line="160" w:lineRule="exact"/>
        <w:rPr>
          <w:rFonts w:ascii="Arial" w:cs="Arial" w:eastAsia="Arial" w:hAnsi="Arial"/>
          <w:sz w:val="22"/>
          <w:szCs w:val="22"/>
          <w:color w:val="auto"/>
        </w:rPr>
      </w:pPr>
    </w:p>
    <w:p>
      <w:pPr>
        <w:ind w:right="320" w:firstLine="8"/>
        <w:spacing w:after="0" w:line="250" w:lineRule="auto"/>
        <w:tabs>
          <w:tab w:leader="none" w:pos="9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In signing this Agreement, you are not relying upon any promises or representations made by anyone at or on behalf of the Company.</w:t>
      </w:r>
    </w:p>
    <w:p>
      <w:pPr>
        <w:spacing w:after="0" w:line="174" w:lineRule="exact"/>
        <w:rPr>
          <w:rFonts w:ascii="Arial" w:cs="Arial" w:eastAsia="Arial" w:hAnsi="Arial"/>
          <w:sz w:val="22"/>
          <w:szCs w:val="22"/>
          <w:color w:val="auto"/>
        </w:rPr>
      </w:pPr>
    </w:p>
    <w:p>
      <w:pPr>
        <w:ind w:right="60" w:firstLine="8"/>
        <w:spacing w:after="0" w:line="287" w:lineRule="auto"/>
        <w:tabs>
          <w:tab w:leader="none" w:pos="88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You and the Company hereby consent to the jurisdiction of the Superior Court of the Commonwealth of Massachusetts and the United States District Court for the District of Massachusetts. Accordingly, with respect to any such court action, you (a) submit to the personal jurisdiction of such courts; (b) consent to service of process; and (c) waive any other requirement (whether imposed by statute, rule of court, or otherwise) with respect to personal jurisdiction or service of process.</w:t>
      </w:r>
    </w:p>
    <w:p>
      <w:pPr>
        <w:spacing w:after="0" w:line="142" w:lineRule="exact"/>
        <w:rPr>
          <w:rFonts w:ascii="Arial" w:cs="Arial" w:eastAsia="Arial" w:hAnsi="Arial"/>
          <w:sz w:val="19"/>
          <w:szCs w:val="19"/>
          <w:color w:val="auto"/>
        </w:rPr>
      </w:pPr>
    </w:p>
    <w:p>
      <w:pPr>
        <w:ind w:right="180" w:firstLine="8"/>
        <w:spacing w:after="0" w:line="287" w:lineRule="auto"/>
        <w:tabs>
          <w:tab w:leader="none" w:pos="90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w:t>
      </w:r>
      <w:r>
        <w:rPr>
          <w:rFonts w:ascii="Arial" w:cs="Arial" w:eastAsia="Arial" w:hAnsi="Arial"/>
          <w:sz w:val="19"/>
          <w:szCs w:val="19"/>
          <w:color w:val="auto"/>
        </w:rPr>
        <w:t>. 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42" w:lineRule="exact"/>
        <w:rPr>
          <w:rFonts w:ascii="Arial" w:cs="Arial" w:eastAsia="Arial" w:hAnsi="Arial"/>
          <w:sz w:val="19"/>
          <w:szCs w:val="19"/>
          <w:color w:val="auto"/>
        </w:rPr>
      </w:pPr>
    </w:p>
    <w:p>
      <w:pPr>
        <w:ind w:right="60" w:firstLine="8"/>
        <w:spacing w:after="0" w:line="238" w:lineRule="auto"/>
        <w:tabs>
          <w:tab w:leader="none" w:pos="88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If any portion or provision of this Agreement (including, without limitation, any portion or provision of any section of the Continuing Obligations)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thereby, and each portion and provision of this Agreement shall be valid and enforceable to the fullest extent permitted by law.</w:t>
      </w:r>
    </w:p>
    <w:p>
      <w:pPr>
        <w:spacing w:after="0" w:line="241" w:lineRule="exact"/>
        <w:rPr>
          <w:sz w:val="20"/>
          <w:szCs w:val="20"/>
          <w:color w:val="auto"/>
        </w:rPr>
      </w:pPr>
    </w:p>
    <w:p>
      <w:pPr>
        <w:ind w:right="40" w:firstLine="8"/>
        <w:spacing w:after="0" w:line="236" w:lineRule="auto"/>
        <w:tabs>
          <w:tab w:leader="none" w:pos="86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Waiver; Amendment</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This Agreement may not be modified or amended except in a writing signed by both you and a duly authorized officer of the Company.</w:t>
      </w:r>
    </w:p>
    <w:p>
      <w:pPr>
        <w:spacing w:after="0" w:line="187" w:lineRule="exact"/>
        <w:rPr>
          <w:rFonts w:ascii="Arial" w:cs="Arial" w:eastAsia="Arial" w:hAnsi="Arial"/>
          <w:sz w:val="22"/>
          <w:szCs w:val="22"/>
          <w:color w:val="auto"/>
        </w:rPr>
      </w:pPr>
    </w:p>
    <w:p>
      <w:pPr>
        <w:ind w:right="200" w:firstLine="8"/>
        <w:spacing w:after="0" w:line="277" w:lineRule="auto"/>
        <w:tabs>
          <w:tab w:leader="none" w:pos="9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Assignment; Successors and Assigns</w:t>
      </w:r>
      <w:r>
        <w:rPr>
          <w:rFonts w:ascii="Arial" w:cs="Arial" w:eastAsia="Arial" w:hAnsi="Arial"/>
          <w:sz w:val="19"/>
          <w:szCs w:val="19"/>
          <w:color w:val="auto"/>
        </w:rPr>
        <w:t xml:space="preserve">. Neither you nor the Company may make any assignment of this Agreement or any interest in it, by operation of law or otherwise, without the prior written consent of the other;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the Company’s respective successors, executors, administrators, heirs and permitted assigns.</w:t>
      </w:r>
    </w:p>
    <w:p>
      <w:pPr>
        <w:spacing w:after="0" w:line="151" w:lineRule="exact"/>
        <w:rPr>
          <w:rFonts w:ascii="Arial" w:cs="Arial" w:eastAsia="Arial" w:hAnsi="Arial"/>
          <w:sz w:val="19"/>
          <w:szCs w:val="19"/>
          <w:color w:val="auto"/>
        </w:rPr>
      </w:pPr>
    </w:p>
    <w:p>
      <w:pPr>
        <w:ind w:right="40" w:firstLine="8"/>
        <w:spacing w:after="0" w:line="282" w:lineRule="auto"/>
        <w:tabs>
          <w:tab w:leader="none" w:pos="9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including the Continuing Obligations, constitutes the entire agreement between you and the Company regarding the subject matter hereof and supersedes any previous agreements or understandings between you and the Company regarding such subject matter, including, without limitation, the Employment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Restrictive Covenants Agreement (except for Section 8(c), which has been waived), the Equity Documents (subject to the terms of this Agreement), and any other obligations specifically preserved in this Agreement shall remain in full force and effect.</w:t>
      </w:r>
    </w:p>
    <w:p>
      <w:pPr>
        <w:spacing w:after="0" w:line="147" w:lineRule="exact"/>
        <w:rPr>
          <w:sz w:val="20"/>
          <w:szCs w:val="20"/>
          <w:color w:val="auto"/>
        </w:rPr>
      </w:pPr>
    </w:p>
    <w:p>
      <w:pPr>
        <w:ind w:firstLine="8"/>
        <w:spacing w:after="0" w:line="273" w:lineRule="auto"/>
        <w:tabs>
          <w:tab w:leader="none" w:pos="88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You understand and acknowledge that you have been given the opportunity to consider this Agreement for twenty-one (21) days from your receipt of this Agreement before signing it (the “</w:t>
      </w:r>
      <w:r>
        <w:rPr>
          <w:rFonts w:ascii="Arial" w:cs="Arial" w:eastAsia="Arial" w:hAnsi="Arial"/>
          <w:sz w:val="19"/>
          <w:szCs w:val="19"/>
          <w:u w:val="single" w:color="auto"/>
          <w:color w:val="auto"/>
        </w:rPr>
        <w:t>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To accept this Agreement, you must execute the unmodified Agreement via DocuSign so that it is received by the Company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business days from the date when you sign this Agreement, you have the right to revoke this Agreement by written notice to John Cerio (john.cerio@orchard-tx.com),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notice is delivered so that it is received at or before the expiration of the seven (7) business 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For the avoidance of doubt, (i) if you breach any of the provisions of the Agreement during the Consideration Period, the offer of this Agreement may be withdrawn and your execution of the Agreement will not be valid, and (ii) if you do not enter into this Agreement, then your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employment will end but you will not be entitled to any of the benefits set forth in this Agreement.</w:t>
      </w:r>
    </w:p>
    <w:p>
      <w:pPr>
        <w:spacing w:after="0" w:line="206" w:lineRule="exact"/>
        <w:rPr>
          <w:sz w:val="20"/>
          <w:szCs w:val="20"/>
          <w:color w:val="auto"/>
        </w:rPr>
      </w:pPr>
    </w:p>
    <w:p>
      <w:pPr>
        <w:jc w:val="both"/>
        <w:ind w:firstLine="8"/>
        <w:spacing w:after="0"/>
        <w:tabs>
          <w:tab w:leader="none" w:pos="85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all of which together shall constitute one and the same document. Electronic and pdf signatures shall be deemed to be of equal force and effect as originals.</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361" w:right="619" w:bottom="1440" w:gutter="0" w:footer="0" w:header="0"/>
        </w:sectPr>
      </w:pPr>
    </w:p>
    <w:bookmarkStart w:id="117" w:name="page118"/>
    <w:bookmarkEnd w:id="117"/>
    <w:p>
      <w:pPr>
        <w:ind w:right="180"/>
        <w:spacing w:after="0" w:line="250" w:lineRule="auto"/>
        <w:rPr>
          <w:sz w:val="20"/>
          <w:szCs w:val="20"/>
          <w:color w:val="auto"/>
        </w:rPr>
      </w:pPr>
      <w:r>
        <w:rPr>
          <w:rFonts w:ascii="Arial" w:cs="Arial" w:eastAsia="Arial" w:hAnsi="Arial"/>
          <w:sz w:val="22"/>
          <w:szCs w:val="22"/>
          <w:color w:val="auto"/>
        </w:rPr>
        <w:t>Please indicate your agreement to the terms of this Agreement by signing and returning the executed Agreement within the time period 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9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PARENT</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ORCHARD THERAPEUTICS PLC</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By:__________________________________</w:t>
      </w:r>
    </w:p>
    <w:p>
      <w:pPr>
        <w:ind w:left="5200"/>
        <w:spacing w:after="0" w:line="238" w:lineRule="auto"/>
        <w:rPr>
          <w:sz w:val="20"/>
          <w:szCs w:val="20"/>
          <w:color w:val="auto"/>
        </w:rPr>
      </w:pPr>
      <w:r>
        <w:rPr>
          <w:rFonts w:ascii="Arial" w:cs="Arial" w:eastAsia="Arial" w:hAnsi="Arial"/>
          <w:sz w:val="22"/>
          <w:szCs w:val="22"/>
          <w:color w:val="auto"/>
        </w:rPr>
        <w:t>Name:</w:t>
      </w:r>
    </w:p>
    <w:p>
      <w:pPr>
        <w:jc w:val="center"/>
        <w:ind w:right="4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U.S. SUBSIDIARY</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ORCHARD THERAPEUTICS NORTH AMERICA</w:t>
      </w:r>
    </w:p>
    <w:p>
      <w:pPr>
        <w:spacing w:after="0" w:line="39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By:__________________________________</w:t>
      </w:r>
    </w:p>
    <w:p>
      <w:pPr>
        <w:ind w:left="5200"/>
        <w:spacing w:after="0" w:line="238" w:lineRule="auto"/>
        <w:rPr>
          <w:sz w:val="20"/>
          <w:szCs w:val="20"/>
          <w:color w:val="auto"/>
        </w:rPr>
      </w:pPr>
      <w:r>
        <w:rPr>
          <w:rFonts w:ascii="Arial" w:cs="Arial" w:eastAsia="Arial" w:hAnsi="Arial"/>
          <w:sz w:val="22"/>
          <w:szCs w:val="22"/>
          <w:color w:val="auto"/>
        </w:rPr>
        <w:t>Name:</w:t>
      </w:r>
    </w:p>
    <w:p>
      <w:pPr>
        <w:jc w:val="center"/>
        <w:ind w:right="4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This is a legal document. Your signature will commit you to its terms. The Company advises you to consult with an attorney before signing this Agreement. By signing below, you acknowledge that you have carefully read and fully understand all of the provisions of this Agreement and that you are knowingly and voluntarily entering into this Agreement.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gridSpan w:val="2"/>
          </w:tcPr>
          <w:p>
            <w:pPr>
              <w:spacing w:after="0"/>
              <w:rPr>
                <w:sz w:val="20"/>
                <w:szCs w:val="20"/>
                <w:color w:val="auto"/>
              </w:rPr>
            </w:pPr>
            <w:r>
              <w:rPr>
                <w:rFonts w:ascii="Arial" w:cs="Arial" w:eastAsia="Arial" w:hAnsi="Arial"/>
                <w:sz w:val="22"/>
                <w:szCs w:val="22"/>
                <w:color w:val="auto"/>
                <w:w w:val="95"/>
              </w:rPr>
              <w:t>____________________________________</w:t>
            </w:r>
          </w:p>
        </w:tc>
        <w:tc>
          <w:tcPr>
            <w:tcW w:w="7040" w:type="dxa"/>
            <w:vAlign w:val="bottom"/>
          </w:tcPr>
          <w:p>
            <w:pPr>
              <w:jc w:val="right"/>
              <w:ind w:right="2932"/>
              <w:spacing w:after="0"/>
              <w:rPr>
                <w:sz w:val="20"/>
                <w:szCs w:val="20"/>
                <w:color w:val="auto"/>
              </w:rPr>
            </w:pPr>
            <w:r>
              <w:rPr>
                <w:rFonts w:ascii="Arial" w:cs="Arial" w:eastAsia="Arial" w:hAnsi="Arial"/>
                <w:sz w:val="22"/>
                <w:szCs w:val="22"/>
                <w:color w:val="auto"/>
                <w:w w:val="95"/>
              </w:rPr>
              <w:t>__________________________________</w:t>
            </w:r>
          </w:p>
        </w:tc>
      </w:tr>
      <w:tr>
        <w:trPr>
          <w:trHeight w:val="274"/>
        </w:trPr>
        <w:tc>
          <w:tcPr>
            <w:tcW w:w="1620" w:type="dxa"/>
            <w:vAlign w:val="bottom"/>
          </w:tcPr>
          <w:p>
            <w:pPr>
              <w:spacing w:after="0"/>
              <w:rPr>
                <w:sz w:val="20"/>
                <w:szCs w:val="20"/>
                <w:color w:val="auto"/>
              </w:rPr>
            </w:pPr>
            <w:r>
              <w:rPr>
                <w:rFonts w:ascii="Arial" w:cs="Arial" w:eastAsia="Arial" w:hAnsi="Arial"/>
                <w:sz w:val="22"/>
                <w:szCs w:val="22"/>
                <w:color w:val="auto"/>
              </w:rPr>
              <w:t>Frank Thomas</w:t>
            </w:r>
          </w:p>
        </w:tc>
        <w:tc>
          <w:tcPr>
            <w:tcW w:w="2600" w:type="dxa"/>
            <w:vAlign w:val="bottom"/>
          </w:tcPr>
          <w:p>
            <w:pPr>
              <w:ind w:left="340"/>
              <w:spacing w:after="0"/>
              <w:rPr>
                <w:sz w:val="20"/>
                <w:szCs w:val="20"/>
                <w:color w:val="auto"/>
              </w:rPr>
            </w:pPr>
            <w:r>
              <w:rPr>
                <w:rFonts w:ascii="Arial" w:cs="Arial" w:eastAsia="Arial" w:hAnsi="Arial"/>
                <w:sz w:val="22"/>
                <w:szCs w:val="22"/>
                <w:color w:val="auto"/>
              </w:rPr>
              <w:t>Date</w:t>
            </w:r>
          </w:p>
        </w:tc>
        <w:tc>
          <w:tcPr>
            <w:tcW w:w="7040" w:type="dxa"/>
            <w:vAlign w:val="bottom"/>
          </w:tcPr>
          <w:p>
            <w:pPr>
              <w:spacing w:after="0"/>
              <w:rPr>
                <w:sz w:val="23"/>
                <w:szCs w:val="23"/>
                <w:color w:val="auto"/>
              </w:rPr>
            </w:pPr>
          </w:p>
        </w:tc>
      </w:tr>
      <w:tr>
        <w:trPr>
          <w:trHeight w:val="901"/>
        </w:trPr>
        <w:tc>
          <w:tcPr>
            <w:tcW w:w="16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Restrictive Covenants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Exhibit 10.15 on the Company’s Form 10-K filed February 27, 2020</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530860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Certificate Updating the Release of Claims</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 Frank Thomas, hereby acknowledge and certify that I entered into a Transitional Services Agreement with Orchard Therapeutics plc (the “</w:t>
      </w:r>
      <w:r>
        <w:rPr>
          <w:rFonts w:ascii="Arial" w:cs="Arial" w:eastAsia="Arial" w:hAnsi="Arial"/>
          <w:sz w:val="19"/>
          <w:szCs w:val="19"/>
          <w:u w:val="single" w:color="auto"/>
          <w:color w:val="auto"/>
        </w:rPr>
        <w:t>Parent</w:t>
      </w:r>
      <w:r>
        <w:rPr>
          <w:rFonts w:ascii="Arial" w:cs="Arial" w:eastAsia="Arial" w:hAnsi="Arial"/>
          <w:sz w:val="19"/>
          <w:szCs w:val="19"/>
          <w:color w:val="auto"/>
        </w:rPr>
        <w:t>”) and Orchard Therapeutics North America (the “</w:t>
      </w:r>
      <w:r>
        <w:rPr>
          <w:rFonts w:ascii="Arial" w:cs="Arial" w:eastAsia="Arial" w:hAnsi="Arial"/>
          <w:sz w:val="19"/>
          <w:szCs w:val="19"/>
          <w:u w:val="single" w:color="auto"/>
          <w:color w:val="auto"/>
        </w:rPr>
        <w:t>U.S. Subsidiary</w:t>
      </w:r>
      <w:r>
        <w:rPr>
          <w:rFonts w:ascii="Arial" w:cs="Arial" w:eastAsia="Arial" w:hAnsi="Arial"/>
          <w:sz w:val="19"/>
          <w:szCs w:val="19"/>
          <w:color w:val="auto"/>
        </w:rPr>
        <w:t>”, and together with the Parent,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ending of my employment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herein and not otherwise defined have the meanings ascribed to such terms in the Agreement. Pursuant to the Agreement, and provided that I have satisfied the Conditions, I am required to execute this certificate, which updates the release of claims set forth in Section 7 of the Agreement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in order to be eligible for the Health Benefits, the 2022 Prorated Bonus and the Extended Exercise Period. </w:t>
      </w:r>
      <w:r>
        <w:rPr>
          <w:rFonts w:ascii="Arial" w:cs="Arial" w:eastAsia="Arial" w:hAnsi="Arial"/>
          <w:sz w:val="19"/>
          <w:szCs w:val="19"/>
          <w:b w:val="1"/>
          <w:bCs w:val="1"/>
          <w:color w:val="auto"/>
        </w:rPr>
        <w:t>I understand that I may not sign this Certificate until on or after the Date of Termination and that I must</w:t>
      </w:r>
      <w:r>
        <w:rPr>
          <w:rFonts w:ascii="Arial" w:cs="Arial" w:eastAsia="Arial" w:hAnsi="Arial"/>
          <w:sz w:val="19"/>
          <w:szCs w:val="19"/>
          <w:color w:val="auto"/>
        </w:rPr>
        <w:t xml:space="preserve"> </w:t>
      </w:r>
      <w:r>
        <w:rPr>
          <w:rFonts w:ascii="Arial" w:cs="Arial" w:eastAsia="Arial" w:hAnsi="Arial"/>
          <w:sz w:val="19"/>
          <w:szCs w:val="19"/>
          <w:b w:val="1"/>
          <w:bCs w:val="1"/>
          <w:color w:val="auto"/>
        </w:rPr>
        <w:t>return it to the Company within seven (7) days after the Date of Termination as set forth below</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I, therefore, agree as follows:</w:t>
      </w:r>
    </w:p>
    <w:p>
      <w:pPr>
        <w:spacing w:after="0" w:line="233" w:lineRule="exact"/>
        <w:rPr>
          <w:sz w:val="20"/>
          <w:szCs w:val="20"/>
          <w:color w:val="auto"/>
        </w:rPr>
      </w:pPr>
    </w:p>
    <w:p>
      <w:pPr>
        <w:ind w:left="860" w:hanging="852"/>
        <w:spacing w:after="0"/>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copy of this Certificate was attached to the Agreement as Exhibit B.</w:t>
      </w:r>
    </w:p>
    <w:p>
      <w:pPr>
        <w:spacing w:after="0" w:line="8" w:lineRule="exact"/>
        <w:rPr>
          <w:rFonts w:ascii="Arial" w:cs="Arial" w:eastAsia="Arial" w:hAnsi="Arial"/>
          <w:sz w:val="22"/>
          <w:szCs w:val="22"/>
          <w:color w:val="auto"/>
        </w:rPr>
      </w:pPr>
    </w:p>
    <w:p>
      <w:pPr>
        <w:ind w:left="860" w:right="20" w:hanging="852"/>
        <w:spacing w:after="0" w:line="230" w:lineRule="auto"/>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consideration of the benefits contained in the Agreement, including but not limited to the Health Benefits, the 2022 Prorated Bonus and the Extended Exercise Period, for which I become eligible only if I sign this Certificate, I hereby extend the release of claims set forth in Section 7 of the Agreement to any and all Claims that arose after the date I signed the Agreement through the date I signed this Certificate, subject to all other exclusions and terms set forth in the Agreement.</w:t>
      </w:r>
    </w:p>
    <w:p>
      <w:pPr>
        <w:spacing w:after="0" w:line="2" w:lineRule="exact"/>
        <w:rPr>
          <w:rFonts w:ascii="Arial" w:cs="Arial" w:eastAsia="Arial" w:hAnsi="Arial"/>
          <w:sz w:val="22"/>
          <w:szCs w:val="22"/>
          <w:color w:val="auto"/>
        </w:rPr>
      </w:pPr>
    </w:p>
    <w:p>
      <w:pPr>
        <w:ind w:left="860" w:right="120" w:hanging="852"/>
        <w:spacing w:after="0" w:line="230" w:lineRule="auto"/>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representatives with the exception of those promises contained in this Certificate and the Agreement.</w:t>
      </w:r>
    </w:p>
    <w:p>
      <w:pPr>
        <w:spacing w:after="0" w:line="2" w:lineRule="exact"/>
        <w:rPr>
          <w:rFonts w:ascii="Arial" w:cs="Arial" w:eastAsia="Arial" w:hAnsi="Arial"/>
          <w:sz w:val="22"/>
          <w:szCs w:val="22"/>
          <w:color w:val="auto"/>
        </w:rPr>
      </w:pPr>
    </w:p>
    <w:p>
      <w:pPr>
        <w:ind w:left="860" w:right="60" w:hanging="852"/>
        <w:spacing w:after="0" w:line="266" w:lineRule="auto"/>
        <w:tabs>
          <w:tab w:leader="none" w:pos="8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receive the Health Benefits, the 2022 Prorated Bonus and the Extended Exercise Period, I must execute the unmodified Certificate via DocuSign so that it is received by the Company within seven (7) days following the Date of Termination. If I do not sign the Certificate, my employment will end and I will not be entitled to the Health Benefits, the 2022 Prorated Bonus and the Extended Exercise Period set forth in the Agreement. This Certificate shall become effective on the date that the Company receives the executed copy (the “</w:t>
      </w:r>
      <w:r>
        <w:rPr>
          <w:rFonts w:ascii="Arial" w:cs="Arial" w:eastAsia="Arial" w:hAnsi="Arial"/>
          <w:sz w:val="19"/>
          <w:szCs w:val="19"/>
          <w:u w:val="single" w:color="auto"/>
          <w:color w:val="auto"/>
        </w:rPr>
        <w:t>Effective Date of the Certificate</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ind w:left="860" w:hanging="852"/>
        <w:spacing w:after="0"/>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 agree that this Certificate is part of the Agreement.</w:t>
      </w:r>
    </w:p>
    <w:p>
      <w:pPr>
        <w:sectPr>
          <w:pgSz w:w="11900" w:h="16838" w:orient="portrait"/>
          <w:cols w:equalWidth="0" w:num="1">
            <w:col w:w="11200"/>
          </w:cols>
          <w:pgMar w:left="320" w:top="5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____________________________________ Frank Thomas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w:t>
      </w:r>
    </w:p>
    <w:p>
      <w:pPr>
        <w:sectPr>
          <w:pgSz w:w="11900" w:h="16838" w:orient="portrait"/>
          <w:cols w:equalWidth="0" w:num="2">
            <w:col w:w="3900" w:space="640"/>
            <w:col w:w="6660"/>
          </w:cols>
          <w:pgMar w:left="320" w:top="598" w:right="37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Bobby Gaspar, certify that:</w:t>
      </w:r>
    </w:p>
    <w:p>
      <w:pPr>
        <w:spacing w:after="0" w:line="225" w:lineRule="exact"/>
        <w:rPr>
          <w:sz w:val="20"/>
          <w:szCs w:val="20"/>
          <w:color w:val="auto"/>
        </w:rPr>
      </w:pPr>
    </w:p>
    <w:p>
      <w:pPr>
        <w:ind w:left="560" w:hanging="552"/>
        <w:spacing w:after="0"/>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of Orchard Therapeutics plc;</w:t>
      </w:r>
    </w:p>
    <w:p>
      <w:pPr>
        <w:spacing w:after="0" w:line="225"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20" w:right="100" w:hanging="559"/>
        <w:spacing w:after="0" w:line="263" w:lineRule="auto"/>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20" w:right="240" w:hanging="559"/>
        <w:spacing w:after="0" w:line="263" w:lineRule="auto"/>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20" w:right="400" w:hanging="559"/>
        <w:spacing w:after="0" w:line="342" w:lineRule="auto"/>
        <w:tabs>
          <w:tab w:leader="none" w:pos="11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559"/>
        <w:spacing w:after="0" w:line="263" w:lineRule="auto"/>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60" w:right="200" w:hanging="552"/>
        <w:spacing w:after="0" w:line="342" w:lineRule="auto"/>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20" w:right="640" w:hanging="559"/>
        <w:spacing w:after="0" w:line="342" w:lineRule="auto"/>
        <w:tabs>
          <w:tab w:leader="none" w:pos="11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340" w:hanging="559"/>
        <w:spacing w:after="0" w:line="277" w:lineRule="auto"/>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Bobby Gaspar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Bobby Gaspar</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E. Thomas, certify that:</w:t>
      </w:r>
    </w:p>
    <w:p>
      <w:pPr>
        <w:spacing w:after="0" w:line="225" w:lineRule="exact"/>
        <w:rPr>
          <w:sz w:val="20"/>
          <w:szCs w:val="20"/>
          <w:color w:val="auto"/>
        </w:rPr>
      </w:pPr>
    </w:p>
    <w:p>
      <w:pPr>
        <w:ind w:left="560" w:hanging="552"/>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of Orchard Therapeutics plc;</w:t>
      </w:r>
    </w:p>
    <w:p>
      <w:pPr>
        <w:spacing w:after="0" w:line="225"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20" w:right="100" w:hanging="559"/>
        <w:spacing w:after="0" w:line="263" w:lineRule="auto"/>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20" w:right="240" w:hanging="559"/>
        <w:spacing w:after="0" w:line="263" w:lineRule="auto"/>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20" w:right="400" w:hanging="559"/>
        <w:spacing w:after="0" w:line="342" w:lineRule="auto"/>
        <w:tabs>
          <w:tab w:leader="none" w:pos="11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559"/>
        <w:spacing w:after="0" w:line="263" w:lineRule="auto"/>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60" w:right="200" w:hanging="552"/>
        <w:spacing w:after="0" w:line="342" w:lineRule="auto"/>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20" w:right="640" w:hanging="559"/>
        <w:spacing w:after="0" w:line="342" w:lineRule="auto"/>
        <w:tabs>
          <w:tab w:leader="none" w:pos="11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340" w:hanging="559"/>
        <w:spacing w:after="0" w:line="277" w:lineRule="auto"/>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8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Frank E. Thomas</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Operating Officer</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46"/>
        <w:spacing w:after="0" w:line="263" w:lineRule="auto"/>
        <w:rPr>
          <w:sz w:val="20"/>
          <w:szCs w:val="20"/>
          <w:color w:val="auto"/>
        </w:rPr>
      </w:pPr>
      <w:r>
        <w:rPr>
          <w:rFonts w:ascii="Arial" w:cs="Arial" w:eastAsia="Arial" w:hAnsi="Arial"/>
          <w:sz w:val="18"/>
          <w:szCs w:val="18"/>
          <w:color w:val="auto"/>
        </w:rPr>
        <w:t>In connection with the Quarterly Report of Orchard Therapeutics plc(the “Company”) on Form 10-Q for the period ending September 30, 2021 as filed with the Securities and Exchange Commission on the date hereof (the “Report”), each of the undersigned officers does hereby certify, pursuant to 18 U.S.C. § 1350, as adopted pursuant to § 906 of the Sarbanes-Oxley Act of 2002, that:</w:t>
      </w:r>
    </w:p>
    <w:p>
      <w:pPr>
        <w:spacing w:after="0" w:line="184"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20" w:val="left"/>
          <w:tab w:leader="none" w:pos="7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Bobby Gaspar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Bobby Gaspar</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tabs>
          <w:tab w:leader="none" w:pos="5620" w:val="left"/>
          <w:tab w:leader="none" w:pos="78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Frank E. Thomas</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President and Chief Operating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30"/>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2"/>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2"/>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amp;"/>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03"/>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2"/>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2"/>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decimal"/>
      <w:start w:val="4"/>
    </w:lvl>
  </w:abstractNum>
  <w:abstractNum w:abstractNumId="66">
    <w:nsid w:val="42963E5A"/>
    <w:multiLevelType w:val="hybridMultilevel"/>
    <w:lvl w:ilvl="0">
      <w:lvlJc w:val="left"/>
      <w:lvlText w:val="%1."/>
      <w:numFmt w:val="decimal"/>
      <w:start w:val="5"/>
    </w:lvl>
  </w:abstractNum>
  <w:abstractNum w:abstractNumId="67">
    <w:nsid w:val="A0382C5"/>
    <w:multiLevelType w:val="hybridMultilevel"/>
    <w:lvl w:ilvl="0">
      <w:lvlJc w:val="left"/>
      <w:lvlText w:val="%1."/>
      <w:numFmt w:val="decimal"/>
      <w:start w:val="6"/>
    </w:lvl>
  </w:abstractNum>
  <w:abstractNum w:abstractNumId="68">
    <w:nsid w:val="8F2B15E"/>
    <w:multiLevelType w:val="hybridMultilevel"/>
    <w:lvl w:ilvl="0">
      <w:lvlJc w:val="left"/>
      <w:lvlText w:val="%1."/>
      <w:numFmt w:val="decimal"/>
      <w:start w:val="7"/>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1."/>
      <w:numFmt w:val="decimal"/>
      <w:start w:val="8"/>
    </w:lvl>
  </w:abstractNum>
  <w:abstractNum w:abstractNumId="72">
    <w:nsid w:val="4962813B"/>
    <w:multiLevelType w:val="hybridMultilevel"/>
    <w:lvl w:ilvl="0">
      <w:lvlJc w:val="left"/>
      <w:lvlText w:val="%1."/>
      <w:numFmt w:val="decimal"/>
      <w:start w:val="9"/>
    </w:lvl>
  </w:abstractNum>
  <w:abstractNum w:abstractNumId="73">
    <w:nsid w:val="60B6DF70"/>
    <w:multiLevelType w:val="hybridMultilevel"/>
    <w:lvl w:ilvl="0">
      <w:lvlJc w:val="left"/>
      <w:lvlText w:val="%1."/>
      <w:numFmt w:val="decimal"/>
      <w:start w:val="10"/>
    </w:lvl>
  </w:abstractNum>
  <w:abstractNum w:abstractNumId="74">
    <w:nsid w:val="6A5EE64"/>
    <w:multiLevelType w:val="hybridMultilevel"/>
    <w:lvl w:ilvl="0">
      <w:lvlJc w:val="left"/>
      <w:lvlText w:val="%1."/>
      <w:numFmt w:val="decimal"/>
      <w:start w:val="1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12"/>
    </w:lvl>
  </w:abstractNum>
  <w:abstractNum w:abstractNumId="77">
    <w:nsid w:val="1A27709E"/>
    <w:multiLevelType w:val="hybridMultilevel"/>
    <w:lvl w:ilvl="0">
      <w:lvlJc w:val="left"/>
      <w:lvlText w:val="%1."/>
      <w:numFmt w:val="decimal"/>
      <w:start w:val="13"/>
    </w:lvl>
  </w:abstractNum>
  <w:abstractNum w:abstractNumId="78">
    <w:nsid w:val="71EA1109"/>
    <w:multiLevelType w:val="hybridMultilevel"/>
    <w:lvl w:ilvl="0">
      <w:lvlJc w:val="left"/>
      <w:lvlText w:val="(%1)"/>
      <w:numFmt w:val="lowerLetter"/>
      <w:start w:val="1"/>
    </w:lvl>
    <w:lvl w:ilvl="1">
      <w:lvlJc w:val="left"/>
      <w:lvlText w:val="(%2)"/>
      <w:numFmt w:val="lowerLetter"/>
      <w:start w:val="2"/>
    </w:lvl>
  </w:abstractNum>
  <w:abstractNum w:abstractNumId="79">
    <w:nsid w:val="100F59DC"/>
    <w:multiLevelType w:val="hybridMultilevel"/>
    <w:lvl w:ilvl="0">
      <w:lvlJc w:val="left"/>
      <w:lvlText w:val="%1."/>
      <w:numFmt w:val="decimal"/>
      <w:start w:val="14"/>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lowerLetter"/>
      <w:start w:val="6"/>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lowerRoman"/>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2021-11-04T06:59:36Z</dcterms:created>
  <dcterms:modified xsi:type="dcterms:W3CDTF">2021-11-04T06:59:36Z</dcterms:modified>
</cp:coreProperties>
</file>